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5CCD0" w14:textId="1E3F6E66" w:rsidR="00BB1E60" w:rsidRPr="00A63909" w:rsidRDefault="00877C0D" w:rsidP="00C12B86">
      <w:pPr>
        <w:pStyle w:val="NoSpacing"/>
        <w:jc w:val="center"/>
        <w:rPr>
          <w:rFonts w:ascii="Times New Roman" w:hAnsi="Times New Roman"/>
          <w:b/>
          <w:sz w:val="28"/>
          <w:szCs w:val="28"/>
          <w:lang w:val="en-GB"/>
        </w:rPr>
      </w:pPr>
      <w:bookmarkStart w:id="0" w:name="_Hlk30093440"/>
      <w:r w:rsidRPr="00A63909">
        <w:rPr>
          <w:rFonts w:ascii="Times New Roman" w:hAnsi="Times New Roman"/>
          <w:b/>
          <w:sz w:val="28"/>
          <w:szCs w:val="28"/>
          <w:lang w:val="en-GB"/>
        </w:rPr>
        <w:t xml:space="preserve">A Simple Theory of Russian Roulette Provisions </w:t>
      </w:r>
    </w:p>
    <w:p w14:paraId="68D2D98D" w14:textId="12A3553B" w:rsidR="00D6452C" w:rsidRDefault="00D6452C" w:rsidP="002953B2">
      <w:pPr>
        <w:pStyle w:val="NoSpacing"/>
        <w:spacing w:before="720" w:after="1440"/>
        <w:jc w:val="center"/>
        <w:rPr>
          <w:rFonts w:ascii="Times New Roman" w:hAnsi="Times New Roman"/>
          <w:smallCaps/>
          <w:sz w:val="20"/>
          <w:lang w:val="en-GB"/>
        </w:rPr>
      </w:pPr>
      <w:r w:rsidRPr="006459BD">
        <w:rPr>
          <w:rFonts w:ascii="Times New Roman" w:hAnsi="Times New Roman"/>
          <w:smallCaps/>
          <w:sz w:val="20"/>
          <w:lang w:val="en-GB"/>
        </w:rPr>
        <w:t>Casim</w:t>
      </w:r>
      <w:r w:rsidR="000852D8" w:rsidRPr="006459BD">
        <w:rPr>
          <w:rFonts w:ascii="Times New Roman" w:hAnsi="Times New Roman"/>
          <w:smallCaps/>
          <w:sz w:val="20"/>
          <w:lang w:val="en-GB"/>
        </w:rPr>
        <w:t>i</w:t>
      </w:r>
      <w:r w:rsidRPr="006459BD">
        <w:rPr>
          <w:rFonts w:ascii="Times New Roman" w:hAnsi="Times New Roman"/>
          <w:smallCaps/>
          <w:sz w:val="20"/>
          <w:lang w:val="en-GB"/>
        </w:rPr>
        <w:t>ro</w:t>
      </w:r>
      <w:r w:rsidR="000852D8" w:rsidRPr="006459BD">
        <w:rPr>
          <w:rFonts w:ascii="Times New Roman" w:hAnsi="Times New Roman"/>
          <w:smallCaps/>
          <w:sz w:val="20"/>
          <w:lang w:val="en-GB"/>
        </w:rPr>
        <w:t xml:space="preserve"> </w:t>
      </w:r>
      <w:r w:rsidRPr="006459BD">
        <w:rPr>
          <w:rFonts w:ascii="Times New Roman" w:hAnsi="Times New Roman"/>
          <w:smallCaps/>
          <w:sz w:val="20"/>
          <w:lang w:val="en-GB"/>
        </w:rPr>
        <w:t>A</w:t>
      </w:r>
      <w:r w:rsidR="000852D8" w:rsidRPr="006459BD">
        <w:rPr>
          <w:rFonts w:ascii="Times New Roman" w:hAnsi="Times New Roman"/>
          <w:smallCaps/>
          <w:sz w:val="20"/>
          <w:lang w:val="en-GB"/>
        </w:rPr>
        <w:t xml:space="preserve">. </w:t>
      </w:r>
      <w:r w:rsidRPr="006459BD">
        <w:rPr>
          <w:rFonts w:ascii="Times New Roman" w:hAnsi="Times New Roman"/>
          <w:smallCaps/>
          <w:sz w:val="20"/>
          <w:lang w:val="en-GB"/>
        </w:rPr>
        <w:t>Nigro</w:t>
      </w:r>
      <w:r w:rsidR="00F35611" w:rsidRPr="006459BD">
        <w:rPr>
          <w:rFonts w:ascii="Times New Roman" w:hAnsi="Times New Roman"/>
          <w:smallCaps/>
          <w:sz w:val="20"/>
          <w:lang w:val="en-GB"/>
        </w:rPr>
        <w:t xml:space="preserve"> </w:t>
      </w:r>
    </w:p>
    <w:p w14:paraId="48BA94D2" w14:textId="29A42C29" w:rsidR="002F7B5A" w:rsidRDefault="002F7B5A" w:rsidP="00327200">
      <w:pPr>
        <w:pStyle w:val="NormalWeb"/>
        <w:spacing w:before="0" w:beforeAutospacing="0" w:after="0" w:afterAutospacing="0"/>
        <w:ind w:left="284" w:right="284" w:firstLine="567"/>
        <w:jc w:val="both"/>
        <w:rPr>
          <w:i/>
          <w:sz w:val="20"/>
          <w:szCs w:val="20"/>
          <w:lang w:val="en-GB"/>
        </w:rPr>
      </w:pPr>
      <w:r>
        <w:rPr>
          <w:i/>
          <w:sz w:val="20"/>
          <w:szCs w:val="20"/>
          <w:lang w:val="en-GB"/>
        </w:rPr>
        <w:t xml:space="preserve">An even allocation of control-rights in close firms is common and an inherent feature of close firms with two shareholders with a 50%-50% equity interest. Such arrangements come with the risk that the quest for unanimity may lead to so-called shareholder </w:t>
      </w:r>
      <w:r w:rsidR="00327200">
        <w:rPr>
          <w:i/>
          <w:sz w:val="20"/>
          <w:szCs w:val="20"/>
          <w:lang w:val="en-GB"/>
        </w:rPr>
        <w:t>deadlocks</w:t>
      </w:r>
      <w:r>
        <w:rPr>
          <w:i/>
          <w:sz w:val="20"/>
          <w:szCs w:val="20"/>
          <w:lang w:val="en-GB"/>
        </w:rPr>
        <w:t xml:space="preserve"> – that is, the paralysis of the firm’s decision-making process at the shareholder level.</w:t>
      </w:r>
      <w:r w:rsidR="00327200">
        <w:rPr>
          <w:i/>
          <w:sz w:val="20"/>
          <w:szCs w:val="20"/>
          <w:lang w:val="en-GB"/>
        </w:rPr>
        <w:t xml:space="preserve"> </w:t>
      </w:r>
    </w:p>
    <w:p w14:paraId="4ADF185A" w14:textId="6606E260" w:rsidR="00327200" w:rsidRDefault="002F7B5A" w:rsidP="00327200">
      <w:pPr>
        <w:pStyle w:val="NormalWeb"/>
        <w:spacing w:before="0" w:beforeAutospacing="0" w:after="0" w:afterAutospacing="0"/>
        <w:ind w:left="284" w:right="284" w:firstLine="567"/>
        <w:jc w:val="both"/>
        <w:rPr>
          <w:i/>
          <w:sz w:val="20"/>
          <w:szCs w:val="20"/>
          <w:lang w:val="en-GB"/>
        </w:rPr>
      </w:pPr>
      <w:r>
        <w:rPr>
          <w:i/>
          <w:sz w:val="20"/>
          <w:szCs w:val="20"/>
          <w:lang w:val="en-GB"/>
        </w:rPr>
        <w:t xml:space="preserve">Shareholder </w:t>
      </w:r>
      <w:r w:rsidR="00327200">
        <w:rPr>
          <w:i/>
          <w:sz w:val="20"/>
          <w:szCs w:val="20"/>
          <w:lang w:val="en-GB"/>
        </w:rPr>
        <w:t>deadlock</w:t>
      </w:r>
      <w:r>
        <w:rPr>
          <w:i/>
          <w:sz w:val="20"/>
          <w:szCs w:val="20"/>
          <w:lang w:val="en-GB"/>
        </w:rPr>
        <w:t xml:space="preserve">s often leave the deadlocked </w:t>
      </w:r>
      <w:r w:rsidR="00327200">
        <w:rPr>
          <w:i/>
          <w:sz w:val="20"/>
          <w:szCs w:val="20"/>
          <w:lang w:val="en-GB"/>
        </w:rPr>
        <w:t xml:space="preserve">shareholders </w:t>
      </w:r>
      <w:r>
        <w:rPr>
          <w:i/>
          <w:sz w:val="20"/>
          <w:szCs w:val="20"/>
          <w:lang w:val="en-GB"/>
        </w:rPr>
        <w:t xml:space="preserve">with no option other than going </w:t>
      </w:r>
      <w:r w:rsidR="00327200">
        <w:rPr>
          <w:i/>
          <w:sz w:val="20"/>
          <w:szCs w:val="20"/>
          <w:lang w:val="en-GB"/>
        </w:rPr>
        <w:t xml:space="preserve">for a </w:t>
      </w:r>
      <w:r>
        <w:rPr>
          <w:i/>
          <w:sz w:val="20"/>
          <w:szCs w:val="20"/>
          <w:lang w:val="en-GB"/>
        </w:rPr>
        <w:t xml:space="preserve">so-called </w:t>
      </w:r>
      <w:r w:rsidR="00327200">
        <w:rPr>
          <w:i/>
          <w:sz w:val="20"/>
          <w:szCs w:val="20"/>
          <w:lang w:val="en-GB"/>
        </w:rPr>
        <w:t xml:space="preserve">buyout – a transaction whereby one deadlocked shareholders buyout the other out. </w:t>
      </w:r>
    </w:p>
    <w:p w14:paraId="403C07C1" w14:textId="79EE2510" w:rsidR="00327200" w:rsidRPr="009F76B6" w:rsidRDefault="002F7B5A" w:rsidP="00327200">
      <w:pPr>
        <w:pStyle w:val="NormalWeb"/>
        <w:spacing w:before="0" w:beforeAutospacing="0" w:after="0" w:afterAutospacing="0"/>
        <w:ind w:left="284" w:right="284" w:firstLine="567"/>
        <w:jc w:val="both"/>
        <w:rPr>
          <w:i/>
          <w:sz w:val="20"/>
          <w:szCs w:val="20"/>
          <w:lang w:val="en-GB"/>
        </w:rPr>
      </w:pPr>
      <w:r>
        <w:rPr>
          <w:i/>
          <w:sz w:val="20"/>
          <w:szCs w:val="20"/>
          <w:lang w:val="en-GB"/>
        </w:rPr>
        <w:t xml:space="preserve">Insofar as no other private ordering-based solution is available, </w:t>
      </w:r>
      <w:r w:rsidR="00327200" w:rsidRPr="009F76B6">
        <w:rPr>
          <w:i/>
          <w:sz w:val="20"/>
          <w:szCs w:val="20"/>
          <w:lang w:val="en-GB"/>
        </w:rPr>
        <w:t xml:space="preserve">the </w:t>
      </w:r>
      <w:r>
        <w:rPr>
          <w:i/>
          <w:sz w:val="20"/>
          <w:szCs w:val="20"/>
          <w:lang w:val="en-GB"/>
        </w:rPr>
        <w:t xml:space="preserve">default technique for a buyout are </w:t>
      </w:r>
      <w:r w:rsidR="00327200" w:rsidRPr="009F76B6">
        <w:rPr>
          <w:i/>
          <w:sz w:val="20"/>
          <w:szCs w:val="20"/>
          <w:lang w:val="en-GB"/>
        </w:rPr>
        <w:t xml:space="preserve">extemporary negotiations. </w:t>
      </w:r>
      <w:r w:rsidR="00327200" w:rsidRPr="009F76B6">
        <w:rPr>
          <w:i/>
          <w:iCs/>
          <w:sz w:val="20"/>
          <w:szCs w:val="20"/>
          <w:lang w:val="en-GB"/>
        </w:rPr>
        <w:t>Contract offers an alternative: so-called “</w:t>
      </w:r>
      <w:r w:rsidR="00327200" w:rsidRPr="009F76B6">
        <w:rPr>
          <w:sz w:val="20"/>
          <w:szCs w:val="20"/>
          <w:lang w:val="en-GB"/>
        </w:rPr>
        <w:t>Russian Roulette provisions</w:t>
      </w:r>
      <w:r w:rsidR="00327200" w:rsidRPr="009F76B6">
        <w:rPr>
          <w:i/>
          <w:sz w:val="20"/>
          <w:szCs w:val="20"/>
          <w:lang w:val="en-GB"/>
        </w:rPr>
        <w:t>”</w:t>
      </w:r>
      <w:r w:rsidR="00327200">
        <w:rPr>
          <w:i/>
          <w:sz w:val="20"/>
          <w:szCs w:val="20"/>
          <w:lang w:val="en-GB"/>
        </w:rPr>
        <w:t>, which i</w:t>
      </w:r>
      <w:r w:rsidR="00327200" w:rsidRPr="009F76B6">
        <w:rPr>
          <w:i/>
          <w:sz w:val="20"/>
          <w:szCs w:val="20"/>
          <w:lang w:val="en-GB"/>
        </w:rPr>
        <w:t>n their simplest design</w:t>
      </w:r>
      <w:r w:rsidR="00327200">
        <w:rPr>
          <w:i/>
          <w:sz w:val="20"/>
          <w:szCs w:val="20"/>
          <w:lang w:val="en-GB"/>
        </w:rPr>
        <w:t xml:space="preserve"> </w:t>
      </w:r>
      <w:r w:rsidR="00327200" w:rsidRPr="009F76B6">
        <w:rPr>
          <w:i/>
          <w:sz w:val="20"/>
          <w:szCs w:val="20"/>
          <w:lang w:val="en-GB"/>
        </w:rPr>
        <w:t xml:space="preserve">require one deadlocked shareholder (the “triggering shareholder”) to serve a notice to the other shareholder (the “non-triggering shareholder), naming an all-cash price at which it values on a </w:t>
      </w:r>
      <w:r w:rsidR="00327200" w:rsidRPr="009F76B6">
        <w:rPr>
          <w:sz w:val="20"/>
          <w:szCs w:val="20"/>
          <w:lang w:val="en-GB"/>
        </w:rPr>
        <w:t>pro rata</w:t>
      </w:r>
      <w:r w:rsidR="00327200" w:rsidRPr="009F76B6">
        <w:rPr>
          <w:i/>
          <w:sz w:val="20"/>
          <w:szCs w:val="20"/>
          <w:lang w:val="en-GB"/>
        </w:rPr>
        <w:t xml:space="preserve"> basis his shareholding. The non-triggering shareholder has then the option to either buy the triggering shareholder out or sell out to him at the established price.</w:t>
      </w:r>
    </w:p>
    <w:p w14:paraId="5A025825" w14:textId="381FE8F6" w:rsidR="00327200" w:rsidRPr="009F76B6" w:rsidRDefault="002F7B5A" w:rsidP="00327200">
      <w:pPr>
        <w:pStyle w:val="NormalWeb"/>
        <w:spacing w:before="0" w:beforeAutospacing="0" w:after="0" w:afterAutospacing="0"/>
        <w:ind w:left="284" w:right="284" w:firstLine="567"/>
        <w:jc w:val="both"/>
        <w:rPr>
          <w:i/>
          <w:sz w:val="20"/>
          <w:szCs w:val="20"/>
          <w:lang w:val="en-GB"/>
        </w:rPr>
      </w:pPr>
      <w:r>
        <w:rPr>
          <w:i/>
          <w:sz w:val="20"/>
          <w:szCs w:val="20"/>
          <w:lang w:val="en-GB"/>
        </w:rPr>
        <w:t xml:space="preserve">The Article </w:t>
      </w:r>
      <w:r w:rsidR="00D22103">
        <w:rPr>
          <w:i/>
          <w:sz w:val="20"/>
          <w:szCs w:val="20"/>
          <w:lang w:val="en-GB"/>
        </w:rPr>
        <w:t xml:space="preserve">seeks to compare and contrast </w:t>
      </w:r>
      <w:r>
        <w:rPr>
          <w:i/>
          <w:sz w:val="20"/>
          <w:szCs w:val="20"/>
          <w:lang w:val="en-GB"/>
        </w:rPr>
        <w:t xml:space="preserve">extemporary negotiations and the buyout procedure stemming out of Russian Roulette provisions </w:t>
      </w:r>
      <w:r w:rsidR="00D22103">
        <w:rPr>
          <w:i/>
          <w:sz w:val="20"/>
          <w:szCs w:val="20"/>
          <w:lang w:val="en-GB"/>
        </w:rPr>
        <w:t xml:space="preserve">in terms of their ability to lead to fair buyouts. </w:t>
      </w:r>
      <w:r w:rsidR="008975B7">
        <w:rPr>
          <w:i/>
          <w:sz w:val="20"/>
          <w:szCs w:val="20"/>
          <w:lang w:val="en-GB"/>
        </w:rPr>
        <w:t>It shows that, overall, the buyout procedure stemming out of Russian Roulette provisions are more effective than extemporary negotiations in leading to fair buyouts.</w:t>
      </w:r>
    </w:p>
    <w:p w14:paraId="26FC65E6" w14:textId="4E0AC071" w:rsidR="00327200" w:rsidRPr="009F76B6" w:rsidRDefault="00D22103" w:rsidP="00327200">
      <w:pPr>
        <w:pStyle w:val="NormalWeb"/>
        <w:spacing w:before="0" w:beforeAutospacing="0" w:after="0" w:afterAutospacing="0"/>
        <w:ind w:left="284" w:right="284" w:firstLine="567"/>
        <w:jc w:val="both"/>
        <w:rPr>
          <w:i/>
          <w:sz w:val="20"/>
          <w:szCs w:val="20"/>
          <w:lang w:val="en-GB"/>
        </w:rPr>
      </w:pPr>
      <w:r>
        <w:rPr>
          <w:i/>
          <w:sz w:val="20"/>
          <w:szCs w:val="20"/>
          <w:lang w:val="en-GB"/>
        </w:rPr>
        <w:t>Building on this comparative assessment, it then discusses the role that r</w:t>
      </w:r>
      <w:r w:rsidRPr="009F76B6">
        <w:rPr>
          <w:i/>
          <w:sz w:val="20"/>
          <w:szCs w:val="20"/>
          <w:lang w:val="en-GB"/>
        </w:rPr>
        <w:t xml:space="preserve">egulation </w:t>
      </w:r>
      <w:r>
        <w:rPr>
          <w:i/>
          <w:sz w:val="20"/>
          <w:szCs w:val="20"/>
          <w:lang w:val="en-GB"/>
        </w:rPr>
        <w:t xml:space="preserve">can </w:t>
      </w:r>
      <w:r w:rsidR="00327200" w:rsidRPr="009F76B6">
        <w:rPr>
          <w:i/>
          <w:sz w:val="20"/>
          <w:szCs w:val="20"/>
          <w:lang w:val="en-GB"/>
        </w:rPr>
        <w:t xml:space="preserve">play in this context. </w:t>
      </w:r>
    </w:p>
    <w:p w14:paraId="6719F3B0" w14:textId="1D885FAB" w:rsidR="002953B2" w:rsidRDefault="00327200" w:rsidP="002953B2">
      <w:pPr>
        <w:pStyle w:val="NormalWeb"/>
        <w:spacing w:before="0" w:beforeAutospacing="0" w:after="0" w:afterAutospacing="0"/>
        <w:ind w:left="284" w:right="284" w:firstLine="424"/>
        <w:jc w:val="both"/>
        <w:rPr>
          <w:i/>
          <w:sz w:val="20"/>
          <w:szCs w:val="20"/>
          <w:lang w:val="en-GB"/>
        </w:rPr>
        <w:sectPr w:rsidR="002953B2" w:rsidSect="00483547">
          <w:footerReference w:type="default" r:id="rId8"/>
          <w:pgSz w:w="11906" w:h="16838"/>
          <w:pgMar w:top="1701" w:right="2268" w:bottom="1701" w:left="1701" w:header="709" w:footer="709" w:gutter="0"/>
          <w:cols w:space="708"/>
          <w:docGrid w:linePitch="360"/>
        </w:sectPr>
      </w:pPr>
      <w:r w:rsidRPr="009F76B6">
        <w:rPr>
          <w:i/>
          <w:sz w:val="20"/>
          <w:szCs w:val="20"/>
          <w:lang w:val="en-GB"/>
        </w:rPr>
        <w:t xml:space="preserve">Overall, the discussion articulated may prove useful in two main respects. On the one hand, it can support a more nuanced and consistent approach to law making and adjudication by legislators and judges, respectively. On the other hand, it may enrich the </w:t>
      </w:r>
      <w:r w:rsidR="008975B7">
        <w:rPr>
          <w:i/>
          <w:sz w:val="20"/>
          <w:szCs w:val="20"/>
          <w:lang w:val="en-GB"/>
        </w:rPr>
        <w:t xml:space="preserve">theoretical </w:t>
      </w:r>
      <w:r w:rsidRPr="009F76B6">
        <w:rPr>
          <w:i/>
          <w:sz w:val="20"/>
          <w:szCs w:val="20"/>
          <w:lang w:val="en-GB"/>
        </w:rPr>
        <w:t>legal discussion, which has thus far looked at these private ordering-based solutions through merely formalistic lenses</w:t>
      </w:r>
      <w:r w:rsidR="002953B2">
        <w:rPr>
          <w:i/>
          <w:sz w:val="20"/>
          <w:szCs w:val="20"/>
          <w:lang w:val="en-GB"/>
        </w:rPr>
        <w:t xml:space="preserve"> and has therefore fallen short of gaining a full understanding of both their virtues and vices</w:t>
      </w:r>
      <w:r w:rsidRPr="009F76B6">
        <w:rPr>
          <w:i/>
          <w:sz w:val="20"/>
          <w:szCs w:val="20"/>
          <w:lang w:val="en-GB"/>
        </w:rPr>
        <w:t xml:space="preserve">. </w:t>
      </w:r>
    </w:p>
    <w:p w14:paraId="0E205E37" w14:textId="033A8142" w:rsidR="00A9409A" w:rsidRPr="00A9409A" w:rsidRDefault="00696D25" w:rsidP="00A9409A">
      <w:pPr>
        <w:pStyle w:val="TOC1"/>
        <w:rPr>
          <w:rFonts w:ascii="Times New Roman" w:eastAsiaTheme="minorEastAsia" w:hAnsi="Times New Roman" w:cs="Times New Roman"/>
          <w:b w:val="0"/>
          <w:bCs w:val="0"/>
          <w:caps w:val="0"/>
          <w:noProof/>
          <w:sz w:val="22"/>
          <w:szCs w:val="22"/>
          <w:lang w:val="it-IT" w:eastAsia="it-IT"/>
        </w:rPr>
      </w:pPr>
      <w:bookmarkStart w:id="1" w:name="_Toc58274683"/>
      <w:bookmarkStart w:id="2" w:name="_Toc64465216"/>
      <w:bookmarkStart w:id="3" w:name="_Toc66125100"/>
      <w:r>
        <w:rPr>
          <w:rFonts w:ascii="Times New Roman" w:hAnsi="Times New Roman" w:cs="Times New Roman"/>
          <w:b w:val="0"/>
          <w:iCs/>
          <w:smallCaps/>
          <w:lang w:val="en-GB"/>
        </w:rPr>
        <w:lastRenderedPageBreak/>
        <w:t>SummarY</w:t>
      </w:r>
      <w:r>
        <w:rPr>
          <w:rFonts w:ascii="Times New Roman" w:hAnsi="Times New Roman" w:cs="Times New Roman"/>
          <w:b w:val="0"/>
          <w:iCs/>
          <w:smallCaps/>
          <w:lang w:val="en-GB"/>
        </w:rPr>
        <w:br/>
        <w:t xml:space="preserve"> </w:t>
      </w:r>
      <w:r>
        <w:rPr>
          <w:rFonts w:ascii="Times New Roman" w:hAnsi="Times New Roman" w:cs="Times New Roman"/>
          <w:b w:val="0"/>
          <w:iCs/>
          <w:smallCaps/>
          <w:lang w:val="en-GB"/>
        </w:rPr>
        <w:br/>
      </w:r>
      <w:r w:rsidR="00FB55AD" w:rsidRPr="00A9409A">
        <w:rPr>
          <w:rFonts w:ascii="Times New Roman" w:hAnsi="Times New Roman" w:cs="Times New Roman"/>
          <w:b w:val="0"/>
          <w:iCs/>
          <w:smallCaps/>
          <w:lang w:val="en-GB"/>
        </w:rPr>
        <w:fldChar w:fldCharType="begin"/>
      </w:r>
      <w:r w:rsidR="00FB55AD" w:rsidRPr="00A9409A">
        <w:rPr>
          <w:rFonts w:ascii="Times New Roman" w:hAnsi="Times New Roman" w:cs="Times New Roman"/>
          <w:b w:val="0"/>
          <w:iCs/>
          <w:smallCaps/>
          <w:lang w:val="en-GB"/>
        </w:rPr>
        <w:instrText xml:space="preserve"> TOC \o "1-3" \h \z \u </w:instrText>
      </w:r>
      <w:r w:rsidR="00FB55AD" w:rsidRPr="00A9409A">
        <w:rPr>
          <w:rFonts w:ascii="Times New Roman" w:hAnsi="Times New Roman" w:cs="Times New Roman"/>
          <w:b w:val="0"/>
          <w:iCs/>
          <w:smallCaps/>
          <w:lang w:val="en-GB"/>
        </w:rPr>
        <w:fldChar w:fldCharType="separate"/>
      </w:r>
      <w:hyperlink w:anchor="_Toc67392666" w:history="1">
        <w:r w:rsidR="00A9409A" w:rsidRPr="00A9409A">
          <w:rPr>
            <w:rStyle w:val="Hyperlink"/>
            <w:rFonts w:ascii="Times New Roman" w:eastAsia="Calibri" w:hAnsi="Times New Roman" w:cs="Times New Roman"/>
            <w:b w:val="0"/>
            <w:iCs/>
            <w:noProof/>
            <w:lang w:val="en-GB"/>
          </w:rPr>
          <w:t>1.</w:t>
        </w:r>
        <w:r w:rsidR="00A9409A" w:rsidRPr="00A9409A">
          <w:rPr>
            <w:rFonts w:ascii="Times New Roman" w:eastAsiaTheme="minorEastAsia" w:hAnsi="Times New Roman" w:cs="Times New Roman"/>
            <w:b w:val="0"/>
            <w:bCs w:val="0"/>
            <w:caps w:val="0"/>
            <w:noProof/>
            <w:sz w:val="22"/>
            <w:szCs w:val="22"/>
            <w:lang w:val="it-IT" w:eastAsia="it-IT"/>
          </w:rPr>
          <w:tab/>
        </w:r>
        <w:r w:rsidR="00A9409A" w:rsidRPr="00A9409A">
          <w:rPr>
            <w:rStyle w:val="Hyperlink"/>
            <w:rFonts w:ascii="Times New Roman" w:eastAsia="Calibri" w:hAnsi="Times New Roman" w:cs="Times New Roman"/>
            <w:b w:val="0"/>
            <w:iCs/>
            <w:noProof/>
            <w:lang w:val="en-GB"/>
          </w:rPr>
          <w:t>Introduction</w:t>
        </w:r>
        <w:r w:rsidR="00A9409A" w:rsidRPr="00A9409A">
          <w:rPr>
            <w:rFonts w:ascii="Times New Roman" w:hAnsi="Times New Roman" w:cs="Times New Roman"/>
            <w:b w:val="0"/>
            <w:noProof/>
            <w:webHidden/>
          </w:rPr>
          <w:tab/>
        </w:r>
        <w:r w:rsidR="00A9409A" w:rsidRPr="00A9409A">
          <w:rPr>
            <w:rFonts w:ascii="Times New Roman" w:hAnsi="Times New Roman" w:cs="Times New Roman"/>
            <w:b w:val="0"/>
            <w:noProof/>
            <w:webHidden/>
          </w:rPr>
          <w:fldChar w:fldCharType="begin"/>
        </w:r>
        <w:r w:rsidR="00A9409A" w:rsidRPr="00A9409A">
          <w:rPr>
            <w:rFonts w:ascii="Times New Roman" w:hAnsi="Times New Roman" w:cs="Times New Roman"/>
            <w:b w:val="0"/>
            <w:noProof/>
            <w:webHidden/>
          </w:rPr>
          <w:instrText xml:space="preserve"> PAGEREF _Toc67392666 \h </w:instrText>
        </w:r>
        <w:r w:rsidR="00A9409A" w:rsidRPr="00A9409A">
          <w:rPr>
            <w:rFonts w:ascii="Times New Roman" w:hAnsi="Times New Roman" w:cs="Times New Roman"/>
            <w:b w:val="0"/>
            <w:noProof/>
            <w:webHidden/>
          </w:rPr>
        </w:r>
        <w:r w:rsidR="00A9409A" w:rsidRPr="00A9409A">
          <w:rPr>
            <w:rFonts w:ascii="Times New Roman" w:hAnsi="Times New Roman" w:cs="Times New Roman"/>
            <w:b w:val="0"/>
            <w:noProof/>
            <w:webHidden/>
          </w:rPr>
          <w:fldChar w:fldCharType="separate"/>
        </w:r>
        <w:r w:rsidR="0028605C">
          <w:rPr>
            <w:rFonts w:ascii="Times New Roman" w:hAnsi="Times New Roman" w:cs="Times New Roman"/>
            <w:b w:val="0"/>
            <w:noProof/>
            <w:webHidden/>
          </w:rPr>
          <w:t>1</w:t>
        </w:r>
        <w:r w:rsidR="00A9409A" w:rsidRPr="00A9409A">
          <w:rPr>
            <w:rFonts w:ascii="Times New Roman" w:hAnsi="Times New Roman" w:cs="Times New Roman"/>
            <w:b w:val="0"/>
            <w:noProof/>
            <w:webHidden/>
          </w:rPr>
          <w:fldChar w:fldCharType="end"/>
        </w:r>
      </w:hyperlink>
    </w:p>
    <w:p w14:paraId="0ACB1669" w14:textId="041635C3" w:rsidR="00A9409A" w:rsidRPr="00A9409A" w:rsidRDefault="00E1219B" w:rsidP="00A9409A">
      <w:pPr>
        <w:pStyle w:val="TOC1"/>
        <w:rPr>
          <w:rFonts w:ascii="Times New Roman" w:eastAsiaTheme="minorEastAsia" w:hAnsi="Times New Roman" w:cs="Times New Roman"/>
          <w:b w:val="0"/>
          <w:bCs w:val="0"/>
          <w:caps w:val="0"/>
          <w:noProof/>
          <w:sz w:val="22"/>
          <w:szCs w:val="22"/>
          <w:lang w:val="it-IT" w:eastAsia="it-IT"/>
        </w:rPr>
      </w:pPr>
      <w:hyperlink w:anchor="_Toc67392667" w:history="1">
        <w:r w:rsidR="00A9409A" w:rsidRPr="00A9409A">
          <w:rPr>
            <w:rStyle w:val="Hyperlink"/>
            <w:rFonts w:ascii="Times New Roman" w:eastAsia="Calibri" w:hAnsi="Times New Roman" w:cs="Times New Roman"/>
            <w:b w:val="0"/>
            <w:iCs/>
            <w:noProof/>
            <w:lang w:val="en-GB"/>
          </w:rPr>
          <w:t>2.</w:t>
        </w:r>
        <w:r w:rsidR="00A9409A" w:rsidRPr="00A9409A">
          <w:rPr>
            <w:rFonts w:ascii="Times New Roman" w:eastAsiaTheme="minorEastAsia" w:hAnsi="Times New Roman" w:cs="Times New Roman"/>
            <w:b w:val="0"/>
            <w:bCs w:val="0"/>
            <w:caps w:val="0"/>
            <w:noProof/>
            <w:sz w:val="22"/>
            <w:szCs w:val="22"/>
            <w:lang w:val="it-IT" w:eastAsia="it-IT"/>
          </w:rPr>
          <w:tab/>
        </w:r>
        <w:r w:rsidR="00A9409A" w:rsidRPr="00A9409A">
          <w:rPr>
            <w:rStyle w:val="Hyperlink"/>
            <w:rFonts w:ascii="Times New Roman" w:eastAsia="Calibri" w:hAnsi="Times New Roman" w:cs="Times New Roman"/>
            <w:b w:val="0"/>
            <w:iCs/>
            <w:noProof/>
            <w:lang w:val="en-GB"/>
          </w:rPr>
          <w:t>Setting the Scene: Close Firms</w:t>
        </w:r>
        <w:r w:rsidR="00A9409A" w:rsidRPr="00A9409A">
          <w:rPr>
            <w:rFonts w:ascii="Times New Roman" w:hAnsi="Times New Roman" w:cs="Times New Roman"/>
            <w:b w:val="0"/>
            <w:noProof/>
            <w:webHidden/>
          </w:rPr>
          <w:tab/>
        </w:r>
        <w:r w:rsidR="00A9409A" w:rsidRPr="00A9409A">
          <w:rPr>
            <w:rFonts w:ascii="Times New Roman" w:hAnsi="Times New Roman" w:cs="Times New Roman"/>
            <w:b w:val="0"/>
            <w:noProof/>
            <w:webHidden/>
          </w:rPr>
          <w:fldChar w:fldCharType="begin"/>
        </w:r>
        <w:r w:rsidR="00A9409A" w:rsidRPr="00A9409A">
          <w:rPr>
            <w:rFonts w:ascii="Times New Roman" w:hAnsi="Times New Roman" w:cs="Times New Roman"/>
            <w:b w:val="0"/>
            <w:noProof/>
            <w:webHidden/>
          </w:rPr>
          <w:instrText xml:space="preserve"> PAGEREF _Toc67392667 \h </w:instrText>
        </w:r>
        <w:r w:rsidR="00A9409A" w:rsidRPr="00A9409A">
          <w:rPr>
            <w:rFonts w:ascii="Times New Roman" w:hAnsi="Times New Roman" w:cs="Times New Roman"/>
            <w:b w:val="0"/>
            <w:noProof/>
            <w:webHidden/>
          </w:rPr>
        </w:r>
        <w:r w:rsidR="00A9409A" w:rsidRPr="00A9409A">
          <w:rPr>
            <w:rFonts w:ascii="Times New Roman" w:hAnsi="Times New Roman" w:cs="Times New Roman"/>
            <w:b w:val="0"/>
            <w:noProof/>
            <w:webHidden/>
          </w:rPr>
          <w:fldChar w:fldCharType="separate"/>
        </w:r>
        <w:r w:rsidR="0028605C">
          <w:rPr>
            <w:rFonts w:ascii="Times New Roman" w:hAnsi="Times New Roman" w:cs="Times New Roman"/>
            <w:b w:val="0"/>
            <w:noProof/>
            <w:webHidden/>
          </w:rPr>
          <w:t>3</w:t>
        </w:r>
        <w:r w:rsidR="00A9409A" w:rsidRPr="00A9409A">
          <w:rPr>
            <w:rFonts w:ascii="Times New Roman" w:hAnsi="Times New Roman" w:cs="Times New Roman"/>
            <w:b w:val="0"/>
            <w:noProof/>
            <w:webHidden/>
          </w:rPr>
          <w:fldChar w:fldCharType="end"/>
        </w:r>
      </w:hyperlink>
    </w:p>
    <w:p w14:paraId="2C2776FD" w14:textId="0FE876A5" w:rsidR="00A9409A" w:rsidRPr="00A9409A" w:rsidRDefault="00E1219B" w:rsidP="00A9409A">
      <w:pPr>
        <w:pStyle w:val="TOC2"/>
        <w:rPr>
          <w:rFonts w:ascii="Times New Roman" w:eastAsiaTheme="minorEastAsia" w:hAnsi="Times New Roman" w:cs="Times New Roman"/>
          <w:smallCaps w:val="0"/>
          <w:noProof/>
          <w:sz w:val="22"/>
          <w:szCs w:val="22"/>
          <w:lang w:val="it-IT" w:eastAsia="it-IT"/>
        </w:rPr>
      </w:pPr>
      <w:hyperlink w:anchor="_Toc67392668" w:history="1">
        <w:r w:rsidR="00A9409A" w:rsidRPr="00A9409A">
          <w:rPr>
            <w:rStyle w:val="Hyperlink"/>
            <w:rFonts w:ascii="Times New Roman" w:eastAsia="Calibri" w:hAnsi="Times New Roman" w:cs="Times New Roman"/>
            <w:iCs/>
            <w:noProof/>
            <w:lang w:val="en-GB"/>
          </w:rPr>
          <w:t>2.1.</w:t>
        </w:r>
        <w:r w:rsidR="00A9409A" w:rsidRPr="00A9409A">
          <w:rPr>
            <w:rFonts w:ascii="Times New Roman" w:eastAsiaTheme="minorEastAsia" w:hAnsi="Times New Roman" w:cs="Times New Roman"/>
            <w:smallCaps w:val="0"/>
            <w:noProof/>
            <w:sz w:val="22"/>
            <w:szCs w:val="22"/>
            <w:lang w:val="it-IT" w:eastAsia="it-IT"/>
          </w:rPr>
          <w:tab/>
        </w:r>
        <w:r w:rsidR="00A9409A" w:rsidRPr="00A9409A">
          <w:rPr>
            <w:rStyle w:val="Hyperlink"/>
            <w:rFonts w:ascii="Times New Roman" w:eastAsia="Calibri" w:hAnsi="Times New Roman" w:cs="Times New Roman"/>
            <w:iCs/>
            <w:noProof/>
            <w:lang w:val="en-GB"/>
          </w:rPr>
          <w:t xml:space="preserve">Idiosyncratic Problems and Contractual Responses </w:t>
        </w:r>
        <w:r w:rsidR="00A9409A" w:rsidRPr="00A9409A">
          <w:rPr>
            <w:rFonts w:ascii="Times New Roman" w:hAnsi="Times New Roman" w:cs="Times New Roman"/>
            <w:noProof/>
            <w:webHidden/>
          </w:rPr>
          <w:tab/>
        </w:r>
        <w:r w:rsidR="00A9409A" w:rsidRPr="00A9409A">
          <w:rPr>
            <w:rFonts w:ascii="Times New Roman" w:hAnsi="Times New Roman" w:cs="Times New Roman"/>
            <w:noProof/>
            <w:webHidden/>
          </w:rPr>
          <w:fldChar w:fldCharType="begin"/>
        </w:r>
        <w:r w:rsidR="00A9409A" w:rsidRPr="00A9409A">
          <w:rPr>
            <w:rFonts w:ascii="Times New Roman" w:hAnsi="Times New Roman" w:cs="Times New Roman"/>
            <w:noProof/>
            <w:webHidden/>
          </w:rPr>
          <w:instrText xml:space="preserve"> PAGEREF _Toc67392668 \h </w:instrText>
        </w:r>
        <w:r w:rsidR="00A9409A" w:rsidRPr="00A9409A">
          <w:rPr>
            <w:rFonts w:ascii="Times New Roman" w:hAnsi="Times New Roman" w:cs="Times New Roman"/>
            <w:noProof/>
            <w:webHidden/>
          </w:rPr>
        </w:r>
        <w:r w:rsidR="00A9409A" w:rsidRPr="00A9409A">
          <w:rPr>
            <w:rFonts w:ascii="Times New Roman" w:hAnsi="Times New Roman" w:cs="Times New Roman"/>
            <w:noProof/>
            <w:webHidden/>
          </w:rPr>
          <w:fldChar w:fldCharType="separate"/>
        </w:r>
        <w:r w:rsidR="0028605C">
          <w:rPr>
            <w:rFonts w:ascii="Times New Roman" w:hAnsi="Times New Roman" w:cs="Times New Roman"/>
            <w:noProof/>
            <w:webHidden/>
          </w:rPr>
          <w:t>3</w:t>
        </w:r>
        <w:r w:rsidR="00A9409A" w:rsidRPr="00A9409A">
          <w:rPr>
            <w:rFonts w:ascii="Times New Roman" w:hAnsi="Times New Roman" w:cs="Times New Roman"/>
            <w:noProof/>
            <w:webHidden/>
          </w:rPr>
          <w:fldChar w:fldCharType="end"/>
        </w:r>
      </w:hyperlink>
    </w:p>
    <w:p w14:paraId="010C8E46" w14:textId="29DA16B2" w:rsidR="00A9409A" w:rsidRPr="00A9409A" w:rsidRDefault="00E1219B" w:rsidP="00A9409A">
      <w:pPr>
        <w:pStyle w:val="TOC2"/>
        <w:rPr>
          <w:rFonts w:ascii="Times New Roman" w:eastAsiaTheme="minorEastAsia" w:hAnsi="Times New Roman" w:cs="Times New Roman"/>
          <w:smallCaps w:val="0"/>
          <w:noProof/>
          <w:sz w:val="22"/>
          <w:szCs w:val="22"/>
          <w:lang w:val="it-IT" w:eastAsia="it-IT"/>
        </w:rPr>
      </w:pPr>
      <w:hyperlink w:anchor="_Toc67392669" w:history="1">
        <w:r w:rsidR="00A9409A" w:rsidRPr="00A9409A">
          <w:rPr>
            <w:rStyle w:val="Hyperlink"/>
            <w:rFonts w:ascii="Times New Roman" w:eastAsia="Calibri" w:hAnsi="Times New Roman" w:cs="Times New Roman"/>
            <w:iCs/>
            <w:noProof/>
            <w:lang w:val="en-GB"/>
          </w:rPr>
          <w:t>2.2.</w:t>
        </w:r>
        <w:r w:rsidR="00A9409A" w:rsidRPr="00A9409A">
          <w:rPr>
            <w:rFonts w:ascii="Times New Roman" w:eastAsiaTheme="minorEastAsia" w:hAnsi="Times New Roman" w:cs="Times New Roman"/>
            <w:smallCaps w:val="0"/>
            <w:noProof/>
            <w:sz w:val="22"/>
            <w:szCs w:val="22"/>
            <w:lang w:val="it-IT" w:eastAsia="it-IT"/>
          </w:rPr>
          <w:tab/>
        </w:r>
        <w:r w:rsidR="00A9409A" w:rsidRPr="00A9409A">
          <w:rPr>
            <w:rStyle w:val="Hyperlink"/>
            <w:rFonts w:ascii="Times New Roman" w:eastAsia="Calibri" w:hAnsi="Times New Roman" w:cs="Times New Roman"/>
            <w:noProof/>
            <w:lang w:val="en-GB"/>
          </w:rPr>
          <w:t>Shareholder Deadlocks Value-destruction and Buyouts</w:t>
        </w:r>
        <w:r w:rsidR="00A9409A" w:rsidRPr="00A9409A">
          <w:rPr>
            <w:rFonts w:ascii="Times New Roman" w:hAnsi="Times New Roman" w:cs="Times New Roman"/>
            <w:noProof/>
            <w:webHidden/>
          </w:rPr>
          <w:tab/>
        </w:r>
        <w:r w:rsidR="00A9409A" w:rsidRPr="00A9409A">
          <w:rPr>
            <w:rFonts w:ascii="Times New Roman" w:hAnsi="Times New Roman" w:cs="Times New Roman"/>
            <w:noProof/>
            <w:webHidden/>
          </w:rPr>
          <w:fldChar w:fldCharType="begin"/>
        </w:r>
        <w:r w:rsidR="00A9409A" w:rsidRPr="00A9409A">
          <w:rPr>
            <w:rFonts w:ascii="Times New Roman" w:hAnsi="Times New Roman" w:cs="Times New Roman"/>
            <w:noProof/>
            <w:webHidden/>
          </w:rPr>
          <w:instrText xml:space="preserve"> PAGEREF _Toc67392669 \h </w:instrText>
        </w:r>
        <w:r w:rsidR="00A9409A" w:rsidRPr="00A9409A">
          <w:rPr>
            <w:rFonts w:ascii="Times New Roman" w:hAnsi="Times New Roman" w:cs="Times New Roman"/>
            <w:noProof/>
            <w:webHidden/>
          </w:rPr>
        </w:r>
        <w:r w:rsidR="00A9409A" w:rsidRPr="00A9409A">
          <w:rPr>
            <w:rFonts w:ascii="Times New Roman" w:hAnsi="Times New Roman" w:cs="Times New Roman"/>
            <w:noProof/>
            <w:webHidden/>
          </w:rPr>
          <w:fldChar w:fldCharType="separate"/>
        </w:r>
        <w:r w:rsidR="0028605C">
          <w:rPr>
            <w:rFonts w:ascii="Times New Roman" w:hAnsi="Times New Roman" w:cs="Times New Roman"/>
            <w:noProof/>
            <w:webHidden/>
          </w:rPr>
          <w:t>6</w:t>
        </w:r>
        <w:r w:rsidR="00A9409A" w:rsidRPr="00A9409A">
          <w:rPr>
            <w:rFonts w:ascii="Times New Roman" w:hAnsi="Times New Roman" w:cs="Times New Roman"/>
            <w:noProof/>
            <w:webHidden/>
          </w:rPr>
          <w:fldChar w:fldCharType="end"/>
        </w:r>
      </w:hyperlink>
    </w:p>
    <w:p w14:paraId="59BAB60C" w14:textId="3586212B" w:rsidR="00A9409A" w:rsidRPr="00A9409A" w:rsidRDefault="00E1219B" w:rsidP="00A9409A">
      <w:pPr>
        <w:pStyle w:val="TOC1"/>
        <w:rPr>
          <w:rFonts w:ascii="Times New Roman" w:eastAsiaTheme="minorEastAsia" w:hAnsi="Times New Roman" w:cs="Times New Roman"/>
          <w:b w:val="0"/>
          <w:bCs w:val="0"/>
          <w:caps w:val="0"/>
          <w:noProof/>
          <w:sz w:val="22"/>
          <w:szCs w:val="22"/>
          <w:lang w:val="it-IT" w:eastAsia="it-IT"/>
        </w:rPr>
      </w:pPr>
      <w:hyperlink w:anchor="_Toc67392671" w:history="1">
        <w:r w:rsidR="00A9409A" w:rsidRPr="00A9409A">
          <w:rPr>
            <w:rStyle w:val="Hyperlink"/>
            <w:rFonts w:ascii="Times New Roman" w:eastAsia="Calibri" w:hAnsi="Times New Roman" w:cs="Times New Roman"/>
            <w:b w:val="0"/>
            <w:iCs/>
            <w:noProof/>
            <w:lang w:val="en-GB"/>
          </w:rPr>
          <w:t>3.</w:t>
        </w:r>
        <w:r w:rsidR="00A9409A" w:rsidRPr="00A9409A">
          <w:rPr>
            <w:rFonts w:ascii="Times New Roman" w:eastAsiaTheme="minorEastAsia" w:hAnsi="Times New Roman" w:cs="Times New Roman"/>
            <w:b w:val="0"/>
            <w:bCs w:val="0"/>
            <w:caps w:val="0"/>
            <w:noProof/>
            <w:sz w:val="22"/>
            <w:szCs w:val="22"/>
            <w:lang w:val="it-IT" w:eastAsia="it-IT"/>
          </w:rPr>
          <w:tab/>
        </w:r>
        <w:r w:rsidR="00A9409A" w:rsidRPr="00A9409A">
          <w:rPr>
            <w:rStyle w:val="Hyperlink"/>
            <w:rFonts w:ascii="Times New Roman" w:eastAsia="Calibri" w:hAnsi="Times New Roman" w:cs="Times New Roman"/>
            <w:b w:val="0"/>
            <w:iCs/>
            <w:noProof/>
            <w:lang w:val="en-GB"/>
          </w:rPr>
          <w:t>The Default Solution: Extemporary Negotiations</w:t>
        </w:r>
        <w:r w:rsidR="00A9409A" w:rsidRPr="00A9409A">
          <w:rPr>
            <w:rFonts w:ascii="Times New Roman" w:hAnsi="Times New Roman" w:cs="Times New Roman"/>
            <w:b w:val="0"/>
            <w:noProof/>
            <w:webHidden/>
          </w:rPr>
          <w:tab/>
        </w:r>
        <w:r w:rsidR="00A9409A" w:rsidRPr="00A9409A">
          <w:rPr>
            <w:rFonts w:ascii="Times New Roman" w:hAnsi="Times New Roman" w:cs="Times New Roman"/>
            <w:b w:val="0"/>
            <w:noProof/>
            <w:webHidden/>
          </w:rPr>
          <w:fldChar w:fldCharType="begin"/>
        </w:r>
        <w:r w:rsidR="00A9409A" w:rsidRPr="00A9409A">
          <w:rPr>
            <w:rFonts w:ascii="Times New Roman" w:hAnsi="Times New Roman" w:cs="Times New Roman"/>
            <w:b w:val="0"/>
            <w:noProof/>
            <w:webHidden/>
          </w:rPr>
          <w:instrText xml:space="preserve"> PAGEREF _Toc67392671 \h </w:instrText>
        </w:r>
        <w:r w:rsidR="00A9409A" w:rsidRPr="00A9409A">
          <w:rPr>
            <w:rFonts w:ascii="Times New Roman" w:hAnsi="Times New Roman" w:cs="Times New Roman"/>
            <w:b w:val="0"/>
            <w:noProof/>
            <w:webHidden/>
          </w:rPr>
        </w:r>
        <w:r w:rsidR="00A9409A" w:rsidRPr="00A9409A">
          <w:rPr>
            <w:rFonts w:ascii="Times New Roman" w:hAnsi="Times New Roman" w:cs="Times New Roman"/>
            <w:b w:val="0"/>
            <w:noProof/>
            <w:webHidden/>
          </w:rPr>
          <w:fldChar w:fldCharType="separate"/>
        </w:r>
        <w:r w:rsidR="0028605C">
          <w:rPr>
            <w:rFonts w:ascii="Times New Roman" w:hAnsi="Times New Roman" w:cs="Times New Roman"/>
            <w:b w:val="0"/>
            <w:noProof/>
            <w:webHidden/>
          </w:rPr>
          <w:t>8</w:t>
        </w:r>
        <w:r w:rsidR="00A9409A" w:rsidRPr="00A9409A">
          <w:rPr>
            <w:rFonts w:ascii="Times New Roman" w:hAnsi="Times New Roman" w:cs="Times New Roman"/>
            <w:b w:val="0"/>
            <w:noProof/>
            <w:webHidden/>
          </w:rPr>
          <w:fldChar w:fldCharType="end"/>
        </w:r>
      </w:hyperlink>
    </w:p>
    <w:p w14:paraId="6AE6C10D" w14:textId="297A888E" w:rsidR="00A9409A" w:rsidRPr="00A9409A" w:rsidRDefault="00E1219B" w:rsidP="00A9409A">
      <w:pPr>
        <w:pStyle w:val="TOC2"/>
        <w:rPr>
          <w:rFonts w:ascii="Times New Roman" w:eastAsiaTheme="minorEastAsia" w:hAnsi="Times New Roman" w:cs="Times New Roman"/>
          <w:smallCaps w:val="0"/>
          <w:noProof/>
          <w:sz w:val="22"/>
          <w:szCs w:val="22"/>
          <w:lang w:val="it-IT" w:eastAsia="it-IT"/>
        </w:rPr>
      </w:pPr>
      <w:hyperlink w:anchor="_Toc67392672" w:history="1">
        <w:r w:rsidR="00A9409A" w:rsidRPr="00A9409A">
          <w:rPr>
            <w:rStyle w:val="Hyperlink"/>
            <w:rFonts w:ascii="Times New Roman" w:eastAsia="Calibri" w:hAnsi="Times New Roman" w:cs="Times New Roman"/>
            <w:noProof/>
            <w:lang w:val="en-GB"/>
          </w:rPr>
          <w:t>3.1.</w:t>
        </w:r>
        <w:r w:rsidR="00A9409A" w:rsidRPr="00A9409A">
          <w:rPr>
            <w:rFonts w:ascii="Times New Roman" w:eastAsiaTheme="minorEastAsia" w:hAnsi="Times New Roman" w:cs="Times New Roman"/>
            <w:smallCaps w:val="0"/>
            <w:noProof/>
            <w:sz w:val="22"/>
            <w:szCs w:val="22"/>
            <w:lang w:val="it-IT" w:eastAsia="it-IT"/>
          </w:rPr>
          <w:tab/>
        </w:r>
        <w:r w:rsidR="00A9409A" w:rsidRPr="00A9409A">
          <w:rPr>
            <w:rStyle w:val="Hyperlink"/>
            <w:rFonts w:ascii="Times New Roman" w:eastAsia="Calibri" w:hAnsi="Times New Roman" w:cs="Times New Roman"/>
            <w:noProof/>
            <w:lang w:val="en-GB"/>
          </w:rPr>
          <w:t>Symmetric Bargaining Environment</w:t>
        </w:r>
        <w:r w:rsidR="00A9409A" w:rsidRPr="00A9409A">
          <w:rPr>
            <w:rFonts w:ascii="Times New Roman" w:hAnsi="Times New Roman" w:cs="Times New Roman"/>
            <w:noProof/>
            <w:webHidden/>
          </w:rPr>
          <w:tab/>
        </w:r>
        <w:r w:rsidR="00A9409A" w:rsidRPr="00A9409A">
          <w:rPr>
            <w:rFonts w:ascii="Times New Roman" w:hAnsi="Times New Roman" w:cs="Times New Roman"/>
            <w:noProof/>
            <w:webHidden/>
          </w:rPr>
          <w:fldChar w:fldCharType="begin"/>
        </w:r>
        <w:r w:rsidR="00A9409A" w:rsidRPr="00A9409A">
          <w:rPr>
            <w:rFonts w:ascii="Times New Roman" w:hAnsi="Times New Roman" w:cs="Times New Roman"/>
            <w:noProof/>
            <w:webHidden/>
          </w:rPr>
          <w:instrText xml:space="preserve"> PAGEREF _Toc67392672 \h </w:instrText>
        </w:r>
        <w:r w:rsidR="00A9409A" w:rsidRPr="00A9409A">
          <w:rPr>
            <w:rFonts w:ascii="Times New Roman" w:hAnsi="Times New Roman" w:cs="Times New Roman"/>
            <w:noProof/>
            <w:webHidden/>
          </w:rPr>
        </w:r>
        <w:r w:rsidR="00A9409A" w:rsidRPr="00A9409A">
          <w:rPr>
            <w:rFonts w:ascii="Times New Roman" w:hAnsi="Times New Roman" w:cs="Times New Roman"/>
            <w:noProof/>
            <w:webHidden/>
          </w:rPr>
          <w:fldChar w:fldCharType="separate"/>
        </w:r>
        <w:r w:rsidR="0028605C">
          <w:rPr>
            <w:rFonts w:ascii="Times New Roman" w:hAnsi="Times New Roman" w:cs="Times New Roman"/>
            <w:noProof/>
            <w:webHidden/>
          </w:rPr>
          <w:t>9</w:t>
        </w:r>
        <w:r w:rsidR="00A9409A" w:rsidRPr="00A9409A">
          <w:rPr>
            <w:rFonts w:ascii="Times New Roman" w:hAnsi="Times New Roman" w:cs="Times New Roman"/>
            <w:noProof/>
            <w:webHidden/>
          </w:rPr>
          <w:fldChar w:fldCharType="end"/>
        </w:r>
      </w:hyperlink>
    </w:p>
    <w:p w14:paraId="3188FB19" w14:textId="06064192" w:rsidR="00A9409A" w:rsidRPr="00A9409A" w:rsidRDefault="00E1219B" w:rsidP="00A9409A">
      <w:pPr>
        <w:pStyle w:val="TOC2"/>
        <w:rPr>
          <w:rFonts w:ascii="Times New Roman" w:eastAsiaTheme="minorEastAsia" w:hAnsi="Times New Roman" w:cs="Times New Roman"/>
          <w:smallCaps w:val="0"/>
          <w:noProof/>
          <w:sz w:val="22"/>
          <w:szCs w:val="22"/>
          <w:lang w:val="it-IT" w:eastAsia="it-IT"/>
        </w:rPr>
      </w:pPr>
      <w:hyperlink w:anchor="_Toc67392673" w:history="1">
        <w:r w:rsidR="00A9409A" w:rsidRPr="00A9409A">
          <w:rPr>
            <w:rStyle w:val="Hyperlink"/>
            <w:rFonts w:ascii="Times New Roman" w:eastAsia="Calibri" w:hAnsi="Times New Roman" w:cs="Times New Roman"/>
            <w:noProof/>
            <w:lang w:val="en-GB"/>
          </w:rPr>
          <w:t>3.2.</w:t>
        </w:r>
        <w:r w:rsidR="00A9409A" w:rsidRPr="00A9409A">
          <w:rPr>
            <w:rFonts w:ascii="Times New Roman" w:eastAsiaTheme="minorEastAsia" w:hAnsi="Times New Roman" w:cs="Times New Roman"/>
            <w:smallCaps w:val="0"/>
            <w:noProof/>
            <w:sz w:val="22"/>
            <w:szCs w:val="22"/>
            <w:lang w:val="it-IT" w:eastAsia="it-IT"/>
          </w:rPr>
          <w:tab/>
        </w:r>
        <w:r w:rsidR="00A9409A" w:rsidRPr="00A9409A">
          <w:rPr>
            <w:rStyle w:val="Hyperlink"/>
            <w:rFonts w:ascii="Times New Roman" w:eastAsia="Calibri" w:hAnsi="Times New Roman" w:cs="Times New Roman"/>
            <w:noProof/>
            <w:lang w:val="en-GB"/>
          </w:rPr>
          <w:t>Asymmetric Bargaining Environment</w:t>
        </w:r>
        <w:r w:rsidR="00A9409A" w:rsidRPr="00A9409A">
          <w:rPr>
            <w:rFonts w:ascii="Times New Roman" w:hAnsi="Times New Roman" w:cs="Times New Roman"/>
            <w:noProof/>
            <w:webHidden/>
          </w:rPr>
          <w:tab/>
        </w:r>
        <w:r w:rsidR="00A9409A" w:rsidRPr="00A9409A">
          <w:rPr>
            <w:rFonts w:ascii="Times New Roman" w:hAnsi="Times New Roman" w:cs="Times New Roman"/>
            <w:noProof/>
            <w:webHidden/>
          </w:rPr>
          <w:fldChar w:fldCharType="begin"/>
        </w:r>
        <w:r w:rsidR="00A9409A" w:rsidRPr="00A9409A">
          <w:rPr>
            <w:rFonts w:ascii="Times New Roman" w:hAnsi="Times New Roman" w:cs="Times New Roman"/>
            <w:noProof/>
            <w:webHidden/>
          </w:rPr>
          <w:instrText xml:space="preserve"> PAGEREF _Toc67392673 \h </w:instrText>
        </w:r>
        <w:r w:rsidR="00A9409A" w:rsidRPr="00A9409A">
          <w:rPr>
            <w:rFonts w:ascii="Times New Roman" w:hAnsi="Times New Roman" w:cs="Times New Roman"/>
            <w:noProof/>
            <w:webHidden/>
          </w:rPr>
        </w:r>
        <w:r w:rsidR="00A9409A" w:rsidRPr="00A9409A">
          <w:rPr>
            <w:rFonts w:ascii="Times New Roman" w:hAnsi="Times New Roman" w:cs="Times New Roman"/>
            <w:noProof/>
            <w:webHidden/>
          </w:rPr>
          <w:fldChar w:fldCharType="separate"/>
        </w:r>
        <w:r w:rsidR="0028605C">
          <w:rPr>
            <w:rFonts w:ascii="Times New Roman" w:hAnsi="Times New Roman" w:cs="Times New Roman"/>
            <w:noProof/>
            <w:webHidden/>
          </w:rPr>
          <w:t>10</w:t>
        </w:r>
        <w:r w:rsidR="00A9409A" w:rsidRPr="00A9409A">
          <w:rPr>
            <w:rFonts w:ascii="Times New Roman" w:hAnsi="Times New Roman" w:cs="Times New Roman"/>
            <w:noProof/>
            <w:webHidden/>
          </w:rPr>
          <w:fldChar w:fldCharType="end"/>
        </w:r>
      </w:hyperlink>
    </w:p>
    <w:p w14:paraId="6F15ACCB" w14:textId="7FD164FE" w:rsidR="00A9409A" w:rsidRPr="00A9409A" w:rsidRDefault="00E1219B" w:rsidP="00A9409A">
      <w:pPr>
        <w:pStyle w:val="TOC3"/>
        <w:rPr>
          <w:rFonts w:ascii="Times New Roman" w:eastAsiaTheme="minorEastAsia" w:hAnsi="Times New Roman" w:cs="Times New Roman"/>
          <w:i w:val="0"/>
          <w:iCs w:val="0"/>
          <w:noProof/>
          <w:sz w:val="22"/>
          <w:szCs w:val="22"/>
          <w:lang w:val="it-IT" w:eastAsia="it-IT"/>
        </w:rPr>
      </w:pPr>
      <w:hyperlink w:anchor="_Toc67392674" w:history="1">
        <w:r w:rsidR="00A9409A" w:rsidRPr="00A9409A">
          <w:rPr>
            <w:rStyle w:val="Hyperlink"/>
            <w:rFonts w:ascii="Times New Roman" w:eastAsia="Calibri" w:hAnsi="Times New Roman" w:cs="Times New Roman"/>
            <w:i w:val="0"/>
            <w:noProof/>
            <w:lang w:val="en-US"/>
          </w:rPr>
          <w:t>3.2.1.</w:t>
        </w:r>
        <w:r w:rsidR="00A9409A" w:rsidRPr="00A9409A">
          <w:rPr>
            <w:rFonts w:ascii="Times New Roman" w:eastAsiaTheme="minorEastAsia" w:hAnsi="Times New Roman" w:cs="Times New Roman"/>
            <w:i w:val="0"/>
            <w:iCs w:val="0"/>
            <w:noProof/>
            <w:sz w:val="22"/>
            <w:szCs w:val="22"/>
            <w:lang w:val="it-IT" w:eastAsia="it-IT"/>
          </w:rPr>
          <w:tab/>
        </w:r>
        <w:r w:rsidR="00A9409A" w:rsidRPr="00A9409A">
          <w:rPr>
            <w:rStyle w:val="Hyperlink"/>
            <w:rFonts w:ascii="Times New Roman" w:eastAsia="Calibri" w:hAnsi="Times New Roman" w:cs="Times New Roman"/>
            <w:i w:val="0"/>
            <w:noProof/>
            <w:lang w:val="en-GB"/>
          </w:rPr>
          <w:t>Information Asymmetries</w:t>
        </w:r>
        <w:r w:rsidR="00A9409A" w:rsidRPr="00A9409A">
          <w:rPr>
            <w:rFonts w:ascii="Times New Roman" w:hAnsi="Times New Roman" w:cs="Times New Roman"/>
            <w:i w:val="0"/>
            <w:noProof/>
            <w:webHidden/>
          </w:rPr>
          <w:tab/>
        </w:r>
        <w:r w:rsidR="00A9409A" w:rsidRPr="00A9409A">
          <w:rPr>
            <w:rFonts w:ascii="Times New Roman" w:hAnsi="Times New Roman" w:cs="Times New Roman"/>
            <w:i w:val="0"/>
            <w:noProof/>
            <w:webHidden/>
          </w:rPr>
          <w:fldChar w:fldCharType="begin"/>
        </w:r>
        <w:r w:rsidR="00A9409A" w:rsidRPr="00A9409A">
          <w:rPr>
            <w:rFonts w:ascii="Times New Roman" w:hAnsi="Times New Roman" w:cs="Times New Roman"/>
            <w:i w:val="0"/>
            <w:noProof/>
            <w:webHidden/>
          </w:rPr>
          <w:instrText xml:space="preserve"> PAGEREF _Toc67392674 \h </w:instrText>
        </w:r>
        <w:r w:rsidR="00A9409A" w:rsidRPr="00A9409A">
          <w:rPr>
            <w:rFonts w:ascii="Times New Roman" w:hAnsi="Times New Roman" w:cs="Times New Roman"/>
            <w:i w:val="0"/>
            <w:noProof/>
            <w:webHidden/>
          </w:rPr>
        </w:r>
        <w:r w:rsidR="00A9409A" w:rsidRPr="00A9409A">
          <w:rPr>
            <w:rFonts w:ascii="Times New Roman" w:hAnsi="Times New Roman" w:cs="Times New Roman"/>
            <w:i w:val="0"/>
            <w:noProof/>
            <w:webHidden/>
          </w:rPr>
          <w:fldChar w:fldCharType="separate"/>
        </w:r>
        <w:r w:rsidR="0028605C">
          <w:rPr>
            <w:rFonts w:ascii="Times New Roman" w:hAnsi="Times New Roman" w:cs="Times New Roman"/>
            <w:i w:val="0"/>
            <w:noProof/>
            <w:webHidden/>
          </w:rPr>
          <w:t>11</w:t>
        </w:r>
        <w:r w:rsidR="00A9409A" w:rsidRPr="00A9409A">
          <w:rPr>
            <w:rFonts w:ascii="Times New Roman" w:hAnsi="Times New Roman" w:cs="Times New Roman"/>
            <w:i w:val="0"/>
            <w:noProof/>
            <w:webHidden/>
          </w:rPr>
          <w:fldChar w:fldCharType="end"/>
        </w:r>
      </w:hyperlink>
    </w:p>
    <w:p w14:paraId="2D92E939" w14:textId="390E284D" w:rsidR="00A9409A" w:rsidRPr="00A9409A" w:rsidRDefault="00E1219B" w:rsidP="00A9409A">
      <w:pPr>
        <w:pStyle w:val="TOC3"/>
        <w:rPr>
          <w:rFonts w:ascii="Times New Roman" w:eastAsiaTheme="minorEastAsia" w:hAnsi="Times New Roman" w:cs="Times New Roman"/>
          <w:i w:val="0"/>
          <w:iCs w:val="0"/>
          <w:noProof/>
          <w:sz w:val="22"/>
          <w:szCs w:val="22"/>
          <w:lang w:val="it-IT" w:eastAsia="it-IT"/>
        </w:rPr>
      </w:pPr>
      <w:hyperlink w:anchor="_Toc67392675" w:history="1">
        <w:r w:rsidR="00A9409A" w:rsidRPr="00A9409A">
          <w:rPr>
            <w:rStyle w:val="Hyperlink"/>
            <w:rFonts w:ascii="Times New Roman" w:eastAsia="Calibri" w:hAnsi="Times New Roman" w:cs="Times New Roman"/>
            <w:i w:val="0"/>
            <w:noProof/>
            <w:lang w:val="en-US"/>
          </w:rPr>
          <w:t>3.2.2.</w:t>
        </w:r>
        <w:r w:rsidR="00A9409A" w:rsidRPr="00A9409A">
          <w:rPr>
            <w:rFonts w:ascii="Times New Roman" w:eastAsiaTheme="minorEastAsia" w:hAnsi="Times New Roman" w:cs="Times New Roman"/>
            <w:i w:val="0"/>
            <w:iCs w:val="0"/>
            <w:noProof/>
            <w:sz w:val="22"/>
            <w:szCs w:val="22"/>
            <w:lang w:val="it-IT" w:eastAsia="it-IT"/>
          </w:rPr>
          <w:tab/>
        </w:r>
        <w:r w:rsidR="00A9409A" w:rsidRPr="00A9409A">
          <w:rPr>
            <w:rStyle w:val="Hyperlink"/>
            <w:rFonts w:ascii="Times New Roman" w:eastAsia="Calibri" w:hAnsi="Times New Roman" w:cs="Times New Roman"/>
            <w:i w:val="0"/>
            <w:noProof/>
            <w:lang w:val="en-GB"/>
          </w:rPr>
          <w:t>Managerial Unevenness</w:t>
        </w:r>
        <w:r w:rsidR="00A9409A" w:rsidRPr="00A9409A">
          <w:rPr>
            <w:rFonts w:ascii="Times New Roman" w:hAnsi="Times New Roman" w:cs="Times New Roman"/>
            <w:i w:val="0"/>
            <w:noProof/>
            <w:webHidden/>
          </w:rPr>
          <w:tab/>
        </w:r>
        <w:r w:rsidR="00A9409A" w:rsidRPr="00A9409A">
          <w:rPr>
            <w:rFonts w:ascii="Times New Roman" w:hAnsi="Times New Roman" w:cs="Times New Roman"/>
            <w:i w:val="0"/>
            <w:noProof/>
            <w:webHidden/>
          </w:rPr>
          <w:fldChar w:fldCharType="begin"/>
        </w:r>
        <w:r w:rsidR="00A9409A" w:rsidRPr="00A9409A">
          <w:rPr>
            <w:rFonts w:ascii="Times New Roman" w:hAnsi="Times New Roman" w:cs="Times New Roman"/>
            <w:i w:val="0"/>
            <w:noProof/>
            <w:webHidden/>
          </w:rPr>
          <w:instrText xml:space="preserve"> PAGEREF _Toc67392675 \h </w:instrText>
        </w:r>
        <w:r w:rsidR="00A9409A" w:rsidRPr="00A9409A">
          <w:rPr>
            <w:rFonts w:ascii="Times New Roman" w:hAnsi="Times New Roman" w:cs="Times New Roman"/>
            <w:i w:val="0"/>
            <w:noProof/>
            <w:webHidden/>
          </w:rPr>
        </w:r>
        <w:r w:rsidR="00A9409A" w:rsidRPr="00A9409A">
          <w:rPr>
            <w:rFonts w:ascii="Times New Roman" w:hAnsi="Times New Roman" w:cs="Times New Roman"/>
            <w:i w:val="0"/>
            <w:noProof/>
            <w:webHidden/>
          </w:rPr>
          <w:fldChar w:fldCharType="separate"/>
        </w:r>
        <w:r w:rsidR="0028605C">
          <w:rPr>
            <w:rFonts w:ascii="Times New Roman" w:hAnsi="Times New Roman" w:cs="Times New Roman"/>
            <w:i w:val="0"/>
            <w:noProof/>
            <w:webHidden/>
          </w:rPr>
          <w:t>12</w:t>
        </w:r>
        <w:r w:rsidR="00A9409A" w:rsidRPr="00A9409A">
          <w:rPr>
            <w:rFonts w:ascii="Times New Roman" w:hAnsi="Times New Roman" w:cs="Times New Roman"/>
            <w:i w:val="0"/>
            <w:noProof/>
            <w:webHidden/>
          </w:rPr>
          <w:fldChar w:fldCharType="end"/>
        </w:r>
      </w:hyperlink>
    </w:p>
    <w:p w14:paraId="780A04BF" w14:textId="16A5FCD3" w:rsidR="00A9409A" w:rsidRPr="00A9409A" w:rsidRDefault="00E1219B" w:rsidP="00A9409A">
      <w:pPr>
        <w:pStyle w:val="TOC3"/>
        <w:rPr>
          <w:rFonts w:ascii="Times New Roman" w:eastAsiaTheme="minorEastAsia" w:hAnsi="Times New Roman" w:cs="Times New Roman"/>
          <w:i w:val="0"/>
          <w:iCs w:val="0"/>
          <w:noProof/>
          <w:sz w:val="22"/>
          <w:szCs w:val="22"/>
          <w:lang w:val="it-IT" w:eastAsia="it-IT"/>
        </w:rPr>
      </w:pPr>
      <w:hyperlink w:anchor="_Toc67392676" w:history="1">
        <w:r w:rsidR="00A9409A" w:rsidRPr="00A9409A">
          <w:rPr>
            <w:rStyle w:val="Hyperlink"/>
            <w:rFonts w:ascii="Times New Roman" w:eastAsia="Calibri" w:hAnsi="Times New Roman" w:cs="Times New Roman"/>
            <w:i w:val="0"/>
            <w:noProof/>
            <w:lang w:val="en-US"/>
          </w:rPr>
          <w:t>3.2.3.</w:t>
        </w:r>
        <w:r w:rsidR="00A9409A" w:rsidRPr="00A9409A">
          <w:rPr>
            <w:rFonts w:ascii="Times New Roman" w:eastAsiaTheme="minorEastAsia" w:hAnsi="Times New Roman" w:cs="Times New Roman"/>
            <w:i w:val="0"/>
            <w:iCs w:val="0"/>
            <w:noProof/>
            <w:sz w:val="22"/>
            <w:szCs w:val="22"/>
            <w:lang w:val="it-IT" w:eastAsia="it-IT"/>
          </w:rPr>
          <w:tab/>
        </w:r>
        <w:r w:rsidR="00A9409A" w:rsidRPr="00A9409A">
          <w:rPr>
            <w:rStyle w:val="Hyperlink"/>
            <w:rFonts w:ascii="Times New Roman" w:eastAsia="Calibri" w:hAnsi="Times New Roman" w:cs="Times New Roman"/>
            <w:i w:val="0"/>
            <w:noProof/>
            <w:lang w:val="en-GB"/>
          </w:rPr>
          <w:t>Financial Disparity</w:t>
        </w:r>
        <w:r w:rsidR="00A9409A" w:rsidRPr="00A9409A">
          <w:rPr>
            <w:rFonts w:ascii="Times New Roman" w:hAnsi="Times New Roman" w:cs="Times New Roman"/>
            <w:i w:val="0"/>
            <w:noProof/>
            <w:webHidden/>
          </w:rPr>
          <w:tab/>
        </w:r>
        <w:r w:rsidR="00A9409A" w:rsidRPr="00A9409A">
          <w:rPr>
            <w:rFonts w:ascii="Times New Roman" w:hAnsi="Times New Roman" w:cs="Times New Roman"/>
            <w:i w:val="0"/>
            <w:noProof/>
            <w:webHidden/>
          </w:rPr>
          <w:fldChar w:fldCharType="begin"/>
        </w:r>
        <w:r w:rsidR="00A9409A" w:rsidRPr="00A9409A">
          <w:rPr>
            <w:rFonts w:ascii="Times New Roman" w:hAnsi="Times New Roman" w:cs="Times New Roman"/>
            <w:i w:val="0"/>
            <w:noProof/>
            <w:webHidden/>
          </w:rPr>
          <w:instrText xml:space="preserve"> PAGEREF _Toc67392676 \h </w:instrText>
        </w:r>
        <w:r w:rsidR="00A9409A" w:rsidRPr="00A9409A">
          <w:rPr>
            <w:rFonts w:ascii="Times New Roman" w:hAnsi="Times New Roman" w:cs="Times New Roman"/>
            <w:i w:val="0"/>
            <w:noProof/>
            <w:webHidden/>
          </w:rPr>
        </w:r>
        <w:r w:rsidR="00A9409A" w:rsidRPr="00A9409A">
          <w:rPr>
            <w:rFonts w:ascii="Times New Roman" w:hAnsi="Times New Roman" w:cs="Times New Roman"/>
            <w:i w:val="0"/>
            <w:noProof/>
            <w:webHidden/>
          </w:rPr>
          <w:fldChar w:fldCharType="separate"/>
        </w:r>
        <w:r w:rsidR="0028605C">
          <w:rPr>
            <w:rFonts w:ascii="Times New Roman" w:hAnsi="Times New Roman" w:cs="Times New Roman"/>
            <w:i w:val="0"/>
            <w:noProof/>
            <w:webHidden/>
          </w:rPr>
          <w:t>14</w:t>
        </w:r>
        <w:r w:rsidR="00A9409A" w:rsidRPr="00A9409A">
          <w:rPr>
            <w:rFonts w:ascii="Times New Roman" w:hAnsi="Times New Roman" w:cs="Times New Roman"/>
            <w:i w:val="0"/>
            <w:noProof/>
            <w:webHidden/>
          </w:rPr>
          <w:fldChar w:fldCharType="end"/>
        </w:r>
      </w:hyperlink>
    </w:p>
    <w:p w14:paraId="336519CF" w14:textId="3B749542" w:rsidR="00A9409A" w:rsidRPr="00A9409A" w:rsidRDefault="00E1219B" w:rsidP="00A9409A">
      <w:pPr>
        <w:pStyle w:val="TOC1"/>
        <w:rPr>
          <w:rFonts w:ascii="Times New Roman" w:eastAsiaTheme="minorEastAsia" w:hAnsi="Times New Roman" w:cs="Times New Roman"/>
          <w:b w:val="0"/>
          <w:bCs w:val="0"/>
          <w:caps w:val="0"/>
          <w:noProof/>
          <w:sz w:val="22"/>
          <w:szCs w:val="22"/>
          <w:lang w:val="it-IT" w:eastAsia="it-IT"/>
        </w:rPr>
      </w:pPr>
      <w:hyperlink w:anchor="_Toc67392677" w:history="1">
        <w:r w:rsidR="00A9409A" w:rsidRPr="00A9409A">
          <w:rPr>
            <w:rStyle w:val="Hyperlink"/>
            <w:rFonts w:ascii="Times New Roman" w:eastAsia="Calibri" w:hAnsi="Times New Roman" w:cs="Times New Roman"/>
            <w:b w:val="0"/>
            <w:iCs/>
            <w:noProof/>
            <w:lang w:val="en-GB"/>
          </w:rPr>
          <w:t>4.</w:t>
        </w:r>
        <w:r w:rsidR="00A9409A" w:rsidRPr="00A9409A">
          <w:rPr>
            <w:rFonts w:ascii="Times New Roman" w:eastAsiaTheme="minorEastAsia" w:hAnsi="Times New Roman" w:cs="Times New Roman"/>
            <w:b w:val="0"/>
            <w:bCs w:val="0"/>
            <w:caps w:val="0"/>
            <w:noProof/>
            <w:sz w:val="22"/>
            <w:szCs w:val="22"/>
            <w:lang w:val="it-IT" w:eastAsia="it-IT"/>
          </w:rPr>
          <w:tab/>
        </w:r>
        <w:r w:rsidR="00A9409A" w:rsidRPr="00A9409A">
          <w:rPr>
            <w:rStyle w:val="Hyperlink"/>
            <w:rFonts w:ascii="Times New Roman" w:eastAsia="Calibri" w:hAnsi="Times New Roman" w:cs="Times New Roman"/>
            <w:b w:val="0"/>
            <w:iCs/>
            <w:noProof/>
            <w:lang w:val="en-GB"/>
          </w:rPr>
          <w:t>A Contract-based Solution: Russian Roulette Provisions</w:t>
        </w:r>
        <w:r w:rsidR="00A9409A" w:rsidRPr="00A9409A">
          <w:rPr>
            <w:rFonts w:ascii="Times New Roman" w:hAnsi="Times New Roman" w:cs="Times New Roman"/>
            <w:b w:val="0"/>
            <w:noProof/>
            <w:webHidden/>
          </w:rPr>
          <w:tab/>
        </w:r>
        <w:r w:rsidR="00A9409A" w:rsidRPr="00A9409A">
          <w:rPr>
            <w:rFonts w:ascii="Times New Roman" w:hAnsi="Times New Roman" w:cs="Times New Roman"/>
            <w:b w:val="0"/>
            <w:noProof/>
            <w:webHidden/>
          </w:rPr>
          <w:fldChar w:fldCharType="begin"/>
        </w:r>
        <w:r w:rsidR="00A9409A" w:rsidRPr="00A9409A">
          <w:rPr>
            <w:rFonts w:ascii="Times New Roman" w:hAnsi="Times New Roman" w:cs="Times New Roman"/>
            <w:b w:val="0"/>
            <w:noProof/>
            <w:webHidden/>
          </w:rPr>
          <w:instrText xml:space="preserve"> PAGEREF _Toc67392677 \h </w:instrText>
        </w:r>
        <w:r w:rsidR="00A9409A" w:rsidRPr="00A9409A">
          <w:rPr>
            <w:rFonts w:ascii="Times New Roman" w:hAnsi="Times New Roman" w:cs="Times New Roman"/>
            <w:b w:val="0"/>
            <w:noProof/>
            <w:webHidden/>
          </w:rPr>
        </w:r>
        <w:r w:rsidR="00A9409A" w:rsidRPr="00A9409A">
          <w:rPr>
            <w:rFonts w:ascii="Times New Roman" w:hAnsi="Times New Roman" w:cs="Times New Roman"/>
            <w:b w:val="0"/>
            <w:noProof/>
            <w:webHidden/>
          </w:rPr>
          <w:fldChar w:fldCharType="separate"/>
        </w:r>
        <w:r w:rsidR="0028605C">
          <w:rPr>
            <w:rFonts w:ascii="Times New Roman" w:hAnsi="Times New Roman" w:cs="Times New Roman"/>
            <w:b w:val="0"/>
            <w:noProof/>
            <w:webHidden/>
          </w:rPr>
          <w:t>15</w:t>
        </w:r>
        <w:r w:rsidR="00A9409A" w:rsidRPr="00A9409A">
          <w:rPr>
            <w:rFonts w:ascii="Times New Roman" w:hAnsi="Times New Roman" w:cs="Times New Roman"/>
            <w:b w:val="0"/>
            <w:noProof/>
            <w:webHidden/>
          </w:rPr>
          <w:fldChar w:fldCharType="end"/>
        </w:r>
      </w:hyperlink>
    </w:p>
    <w:p w14:paraId="489BEEF1" w14:textId="53403842" w:rsidR="00A9409A" w:rsidRPr="00A9409A" w:rsidRDefault="00E1219B" w:rsidP="00A9409A">
      <w:pPr>
        <w:pStyle w:val="TOC2"/>
        <w:rPr>
          <w:rFonts w:ascii="Times New Roman" w:eastAsiaTheme="minorEastAsia" w:hAnsi="Times New Roman" w:cs="Times New Roman"/>
          <w:smallCaps w:val="0"/>
          <w:noProof/>
          <w:sz w:val="22"/>
          <w:szCs w:val="22"/>
          <w:lang w:val="it-IT" w:eastAsia="it-IT"/>
        </w:rPr>
      </w:pPr>
      <w:hyperlink w:anchor="_Toc67392679" w:history="1">
        <w:r w:rsidR="00A9409A" w:rsidRPr="00A9409A">
          <w:rPr>
            <w:rStyle w:val="Hyperlink"/>
            <w:rFonts w:ascii="Times New Roman" w:eastAsia="Calibri" w:hAnsi="Times New Roman" w:cs="Times New Roman"/>
            <w:iCs/>
            <w:noProof/>
            <w:lang w:val="en-GB"/>
          </w:rPr>
          <w:t>4.1.</w:t>
        </w:r>
        <w:r w:rsidR="00A9409A" w:rsidRPr="00A9409A">
          <w:rPr>
            <w:rFonts w:ascii="Times New Roman" w:eastAsiaTheme="minorEastAsia" w:hAnsi="Times New Roman" w:cs="Times New Roman"/>
            <w:smallCaps w:val="0"/>
            <w:noProof/>
            <w:sz w:val="22"/>
            <w:szCs w:val="22"/>
            <w:lang w:val="it-IT" w:eastAsia="it-IT"/>
          </w:rPr>
          <w:tab/>
        </w:r>
        <w:r w:rsidR="00A9409A" w:rsidRPr="00A9409A">
          <w:rPr>
            <w:rStyle w:val="Hyperlink"/>
            <w:rFonts w:ascii="Times New Roman" w:eastAsia="Calibri" w:hAnsi="Times New Roman" w:cs="Times New Roman"/>
            <w:iCs/>
            <w:noProof/>
            <w:lang w:val="en-GB"/>
          </w:rPr>
          <w:t>Symmetric Bargaining Environment</w:t>
        </w:r>
        <w:r w:rsidR="00A9409A" w:rsidRPr="00A9409A">
          <w:rPr>
            <w:rFonts w:ascii="Times New Roman" w:hAnsi="Times New Roman" w:cs="Times New Roman"/>
            <w:noProof/>
            <w:webHidden/>
          </w:rPr>
          <w:tab/>
        </w:r>
        <w:r w:rsidR="00A9409A" w:rsidRPr="00A9409A">
          <w:rPr>
            <w:rFonts w:ascii="Times New Roman" w:hAnsi="Times New Roman" w:cs="Times New Roman"/>
            <w:noProof/>
            <w:webHidden/>
          </w:rPr>
          <w:fldChar w:fldCharType="begin"/>
        </w:r>
        <w:r w:rsidR="00A9409A" w:rsidRPr="00A9409A">
          <w:rPr>
            <w:rFonts w:ascii="Times New Roman" w:hAnsi="Times New Roman" w:cs="Times New Roman"/>
            <w:noProof/>
            <w:webHidden/>
          </w:rPr>
          <w:instrText xml:space="preserve"> PAGEREF _Toc67392679 \h </w:instrText>
        </w:r>
        <w:r w:rsidR="00A9409A" w:rsidRPr="00A9409A">
          <w:rPr>
            <w:rFonts w:ascii="Times New Roman" w:hAnsi="Times New Roman" w:cs="Times New Roman"/>
            <w:noProof/>
            <w:webHidden/>
          </w:rPr>
        </w:r>
        <w:r w:rsidR="00A9409A" w:rsidRPr="00A9409A">
          <w:rPr>
            <w:rFonts w:ascii="Times New Roman" w:hAnsi="Times New Roman" w:cs="Times New Roman"/>
            <w:noProof/>
            <w:webHidden/>
          </w:rPr>
          <w:fldChar w:fldCharType="separate"/>
        </w:r>
        <w:r w:rsidR="0028605C">
          <w:rPr>
            <w:rFonts w:ascii="Times New Roman" w:hAnsi="Times New Roman" w:cs="Times New Roman"/>
            <w:noProof/>
            <w:webHidden/>
          </w:rPr>
          <w:t>16</w:t>
        </w:r>
        <w:r w:rsidR="00A9409A" w:rsidRPr="00A9409A">
          <w:rPr>
            <w:rFonts w:ascii="Times New Roman" w:hAnsi="Times New Roman" w:cs="Times New Roman"/>
            <w:noProof/>
            <w:webHidden/>
          </w:rPr>
          <w:fldChar w:fldCharType="end"/>
        </w:r>
      </w:hyperlink>
    </w:p>
    <w:p w14:paraId="212A7E1A" w14:textId="121A4FD8" w:rsidR="00A9409A" w:rsidRPr="00A9409A" w:rsidRDefault="00E1219B" w:rsidP="00A9409A">
      <w:pPr>
        <w:pStyle w:val="TOC2"/>
        <w:rPr>
          <w:rFonts w:ascii="Times New Roman" w:eastAsiaTheme="minorEastAsia" w:hAnsi="Times New Roman" w:cs="Times New Roman"/>
          <w:smallCaps w:val="0"/>
          <w:noProof/>
          <w:sz w:val="22"/>
          <w:szCs w:val="22"/>
          <w:lang w:val="it-IT" w:eastAsia="it-IT"/>
        </w:rPr>
      </w:pPr>
      <w:hyperlink w:anchor="_Toc67392680" w:history="1">
        <w:r w:rsidR="00A9409A" w:rsidRPr="00A9409A">
          <w:rPr>
            <w:rStyle w:val="Hyperlink"/>
            <w:rFonts w:ascii="Times New Roman" w:eastAsia="Calibri" w:hAnsi="Times New Roman" w:cs="Times New Roman"/>
            <w:iCs/>
            <w:noProof/>
            <w:lang w:val="en-GB"/>
          </w:rPr>
          <w:t>4.2.</w:t>
        </w:r>
        <w:r w:rsidR="00A9409A" w:rsidRPr="00A9409A">
          <w:rPr>
            <w:rFonts w:ascii="Times New Roman" w:eastAsiaTheme="minorEastAsia" w:hAnsi="Times New Roman" w:cs="Times New Roman"/>
            <w:smallCaps w:val="0"/>
            <w:noProof/>
            <w:sz w:val="22"/>
            <w:szCs w:val="22"/>
            <w:lang w:val="it-IT" w:eastAsia="it-IT"/>
          </w:rPr>
          <w:tab/>
        </w:r>
        <w:r w:rsidR="00A9409A" w:rsidRPr="00A9409A">
          <w:rPr>
            <w:rStyle w:val="Hyperlink"/>
            <w:rFonts w:ascii="Times New Roman" w:eastAsia="Calibri" w:hAnsi="Times New Roman" w:cs="Times New Roman"/>
            <w:iCs/>
            <w:noProof/>
            <w:lang w:val="en-GB"/>
          </w:rPr>
          <w:t>Asymmetric Bargaining Environment</w:t>
        </w:r>
        <w:r w:rsidR="00A9409A" w:rsidRPr="00A9409A">
          <w:rPr>
            <w:rFonts w:ascii="Times New Roman" w:hAnsi="Times New Roman" w:cs="Times New Roman"/>
            <w:noProof/>
            <w:webHidden/>
          </w:rPr>
          <w:tab/>
        </w:r>
        <w:r w:rsidR="00A9409A" w:rsidRPr="00A9409A">
          <w:rPr>
            <w:rFonts w:ascii="Times New Roman" w:hAnsi="Times New Roman" w:cs="Times New Roman"/>
            <w:noProof/>
            <w:webHidden/>
          </w:rPr>
          <w:fldChar w:fldCharType="begin"/>
        </w:r>
        <w:r w:rsidR="00A9409A" w:rsidRPr="00A9409A">
          <w:rPr>
            <w:rFonts w:ascii="Times New Roman" w:hAnsi="Times New Roman" w:cs="Times New Roman"/>
            <w:noProof/>
            <w:webHidden/>
          </w:rPr>
          <w:instrText xml:space="preserve"> PAGEREF _Toc67392680 \h </w:instrText>
        </w:r>
        <w:r w:rsidR="00A9409A" w:rsidRPr="00A9409A">
          <w:rPr>
            <w:rFonts w:ascii="Times New Roman" w:hAnsi="Times New Roman" w:cs="Times New Roman"/>
            <w:noProof/>
            <w:webHidden/>
          </w:rPr>
        </w:r>
        <w:r w:rsidR="00A9409A" w:rsidRPr="00A9409A">
          <w:rPr>
            <w:rFonts w:ascii="Times New Roman" w:hAnsi="Times New Roman" w:cs="Times New Roman"/>
            <w:noProof/>
            <w:webHidden/>
          </w:rPr>
          <w:fldChar w:fldCharType="separate"/>
        </w:r>
        <w:r w:rsidR="0028605C">
          <w:rPr>
            <w:rFonts w:ascii="Times New Roman" w:hAnsi="Times New Roman" w:cs="Times New Roman"/>
            <w:noProof/>
            <w:webHidden/>
          </w:rPr>
          <w:t>19</w:t>
        </w:r>
        <w:r w:rsidR="00A9409A" w:rsidRPr="00A9409A">
          <w:rPr>
            <w:rFonts w:ascii="Times New Roman" w:hAnsi="Times New Roman" w:cs="Times New Roman"/>
            <w:noProof/>
            <w:webHidden/>
          </w:rPr>
          <w:fldChar w:fldCharType="end"/>
        </w:r>
      </w:hyperlink>
    </w:p>
    <w:p w14:paraId="76346A28" w14:textId="51ABD425" w:rsidR="00A9409A" w:rsidRPr="00A9409A" w:rsidRDefault="00E1219B" w:rsidP="00A9409A">
      <w:pPr>
        <w:pStyle w:val="TOC3"/>
        <w:rPr>
          <w:rFonts w:ascii="Times New Roman" w:eastAsiaTheme="minorEastAsia" w:hAnsi="Times New Roman" w:cs="Times New Roman"/>
          <w:i w:val="0"/>
          <w:iCs w:val="0"/>
          <w:noProof/>
          <w:sz w:val="22"/>
          <w:szCs w:val="22"/>
          <w:lang w:val="it-IT" w:eastAsia="it-IT"/>
        </w:rPr>
      </w:pPr>
      <w:hyperlink w:anchor="_Toc67392681" w:history="1">
        <w:r w:rsidR="00A9409A" w:rsidRPr="00A9409A">
          <w:rPr>
            <w:rStyle w:val="Hyperlink"/>
            <w:rFonts w:ascii="Times New Roman" w:eastAsia="Calibri" w:hAnsi="Times New Roman" w:cs="Times New Roman"/>
            <w:i w:val="0"/>
            <w:noProof/>
            <w:lang w:val="en-US"/>
          </w:rPr>
          <w:t>4.2.1.</w:t>
        </w:r>
        <w:r w:rsidR="00A9409A" w:rsidRPr="00A9409A">
          <w:rPr>
            <w:rFonts w:ascii="Times New Roman" w:eastAsiaTheme="minorEastAsia" w:hAnsi="Times New Roman" w:cs="Times New Roman"/>
            <w:i w:val="0"/>
            <w:iCs w:val="0"/>
            <w:noProof/>
            <w:sz w:val="22"/>
            <w:szCs w:val="22"/>
            <w:lang w:val="it-IT" w:eastAsia="it-IT"/>
          </w:rPr>
          <w:tab/>
        </w:r>
        <w:r w:rsidR="00A9409A" w:rsidRPr="00A9409A">
          <w:rPr>
            <w:rStyle w:val="Hyperlink"/>
            <w:rFonts w:ascii="Times New Roman" w:eastAsia="Calibri" w:hAnsi="Times New Roman" w:cs="Times New Roman"/>
            <w:i w:val="0"/>
            <w:noProof/>
            <w:lang w:val="en-GB"/>
          </w:rPr>
          <w:t>Information Asymmetries</w:t>
        </w:r>
        <w:r w:rsidR="00A9409A" w:rsidRPr="00A9409A">
          <w:rPr>
            <w:rFonts w:ascii="Times New Roman" w:hAnsi="Times New Roman" w:cs="Times New Roman"/>
            <w:i w:val="0"/>
            <w:noProof/>
            <w:webHidden/>
          </w:rPr>
          <w:tab/>
        </w:r>
        <w:r w:rsidR="00A9409A" w:rsidRPr="00A9409A">
          <w:rPr>
            <w:rFonts w:ascii="Times New Roman" w:hAnsi="Times New Roman" w:cs="Times New Roman"/>
            <w:i w:val="0"/>
            <w:noProof/>
            <w:webHidden/>
          </w:rPr>
          <w:fldChar w:fldCharType="begin"/>
        </w:r>
        <w:r w:rsidR="00A9409A" w:rsidRPr="00A9409A">
          <w:rPr>
            <w:rFonts w:ascii="Times New Roman" w:hAnsi="Times New Roman" w:cs="Times New Roman"/>
            <w:i w:val="0"/>
            <w:noProof/>
            <w:webHidden/>
          </w:rPr>
          <w:instrText xml:space="preserve"> PAGEREF _Toc67392681 \h </w:instrText>
        </w:r>
        <w:r w:rsidR="00A9409A" w:rsidRPr="00A9409A">
          <w:rPr>
            <w:rFonts w:ascii="Times New Roman" w:hAnsi="Times New Roman" w:cs="Times New Roman"/>
            <w:i w:val="0"/>
            <w:noProof/>
            <w:webHidden/>
          </w:rPr>
        </w:r>
        <w:r w:rsidR="00A9409A" w:rsidRPr="00A9409A">
          <w:rPr>
            <w:rFonts w:ascii="Times New Roman" w:hAnsi="Times New Roman" w:cs="Times New Roman"/>
            <w:i w:val="0"/>
            <w:noProof/>
            <w:webHidden/>
          </w:rPr>
          <w:fldChar w:fldCharType="separate"/>
        </w:r>
        <w:r w:rsidR="0028605C">
          <w:rPr>
            <w:rFonts w:ascii="Times New Roman" w:hAnsi="Times New Roman" w:cs="Times New Roman"/>
            <w:i w:val="0"/>
            <w:noProof/>
            <w:webHidden/>
          </w:rPr>
          <w:t>19</w:t>
        </w:r>
        <w:r w:rsidR="00A9409A" w:rsidRPr="00A9409A">
          <w:rPr>
            <w:rFonts w:ascii="Times New Roman" w:hAnsi="Times New Roman" w:cs="Times New Roman"/>
            <w:i w:val="0"/>
            <w:noProof/>
            <w:webHidden/>
          </w:rPr>
          <w:fldChar w:fldCharType="end"/>
        </w:r>
      </w:hyperlink>
    </w:p>
    <w:p w14:paraId="53D98202" w14:textId="79B8D19B" w:rsidR="00A9409A" w:rsidRPr="00A9409A" w:rsidRDefault="00E1219B" w:rsidP="00A9409A">
      <w:pPr>
        <w:pStyle w:val="TOC3"/>
        <w:rPr>
          <w:rFonts w:ascii="Times New Roman" w:eastAsiaTheme="minorEastAsia" w:hAnsi="Times New Roman" w:cs="Times New Roman"/>
          <w:i w:val="0"/>
          <w:iCs w:val="0"/>
          <w:noProof/>
          <w:sz w:val="22"/>
          <w:szCs w:val="22"/>
          <w:lang w:val="it-IT" w:eastAsia="it-IT"/>
        </w:rPr>
      </w:pPr>
      <w:hyperlink w:anchor="_Toc67392682" w:history="1">
        <w:r w:rsidR="00A9409A" w:rsidRPr="00A9409A">
          <w:rPr>
            <w:rStyle w:val="Hyperlink"/>
            <w:rFonts w:ascii="Times New Roman" w:eastAsia="Calibri" w:hAnsi="Times New Roman" w:cs="Times New Roman"/>
            <w:i w:val="0"/>
            <w:noProof/>
            <w:lang w:val="en-US"/>
          </w:rPr>
          <w:t>4.2.2.</w:t>
        </w:r>
        <w:r w:rsidR="00A9409A" w:rsidRPr="00A9409A">
          <w:rPr>
            <w:rFonts w:ascii="Times New Roman" w:eastAsiaTheme="minorEastAsia" w:hAnsi="Times New Roman" w:cs="Times New Roman"/>
            <w:i w:val="0"/>
            <w:iCs w:val="0"/>
            <w:noProof/>
            <w:sz w:val="22"/>
            <w:szCs w:val="22"/>
            <w:lang w:val="it-IT" w:eastAsia="it-IT"/>
          </w:rPr>
          <w:tab/>
        </w:r>
        <w:r w:rsidR="00A9409A" w:rsidRPr="00A9409A">
          <w:rPr>
            <w:rStyle w:val="Hyperlink"/>
            <w:rFonts w:ascii="Times New Roman" w:eastAsia="Calibri" w:hAnsi="Times New Roman" w:cs="Times New Roman"/>
            <w:i w:val="0"/>
            <w:noProof/>
            <w:lang w:val="en-GB"/>
          </w:rPr>
          <w:t>Managerial Unevenness</w:t>
        </w:r>
        <w:r w:rsidR="00A9409A" w:rsidRPr="00A9409A">
          <w:rPr>
            <w:rFonts w:ascii="Times New Roman" w:hAnsi="Times New Roman" w:cs="Times New Roman"/>
            <w:i w:val="0"/>
            <w:noProof/>
            <w:webHidden/>
          </w:rPr>
          <w:tab/>
        </w:r>
        <w:r w:rsidR="00A9409A" w:rsidRPr="00A9409A">
          <w:rPr>
            <w:rFonts w:ascii="Times New Roman" w:hAnsi="Times New Roman" w:cs="Times New Roman"/>
            <w:i w:val="0"/>
            <w:noProof/>
            <w:webHidden/>
          </w:rPr>
          <w:fldChar w:fldCharType="begin"/>
        </w:r>
        <w:r w:rsidR="00A9409A" w:rsidRPr="00A9409A">
          <w:rPr>
            <w:rFonts w:ascii="Times New Roman" w:hAnsi="Times New Roman" w:cs="Times New Roman"/>
            <w:i w:val="0"/>
            <w:noProof/>
            <w:webHidden/>
          </w:rPr>
          <w:instrText xml:space="preserve"> PAGEREF _Toc67392682 \h </w:instrText>
        </w:r>
        <w:r w:rsidR="00A9409A" w:rsidRPr="00A9409A">
          <w:rPr>
            <w:rFonts w:ascii="Times New Roman" w:hAnsi="Times New Roman" w:cs="Times New Roman"/>
            <w:i w:val="0"/>
            <w:noProof/>
            <w:webHidden/>
          </w:rPr>
        </w:r>
        <w:r w:rsidR="00A9409A" w:rsidRPr="00A9409A">
          <w:rPr>
            <w:rFonts w:ascii="Times New Roman" w:hAnsi="Times New Roman" w:cs="Times New Roman"/>
            <w:i w:val="0"/>
            <w:noProof/>
            <w:webHidden/>
          </w:rPr>
          <w:fldChar w:fldCharType="separate"/>
        </w:r>
        <w:r w:rsidR="0028605C">
          <w:rPr>
            <w:rFonts w:ascii="Times New Roman" w:hAnsi="Times New Roman" w:cs="Times New Roman"/>
            <w:i w:val="0"/>
            <w:noProof/>
            <w:webHidden/>
          </w:rPr>
          <w:t>21</w:t>
        </w:r>
        <w:r w:rsidR="00A9409A" w:rsidRPr="00A9409A">
          <w:rPr>
            <w:rFonts w:ascii="Times New Roman" w:hAnsi="Times New Roman" w:cs="Times New Roman"/>
            <w:i w:val="0"/>
            <w:noProof/>
            <w:webHidden/>
          </w:rPr>
          <w:fldChar w:fldCharType="end"/>
        </w:r>
      </w:hyperlink>
    </w:p>
    <w:p w14:paraId="5A5D5BC5" w14:textId="2C5A4C90" w:rsidR="00A9409A" w:rsidRPr="00A9409A" w:rsidRDefault="00E1219B" w:rsidP="00A9409A">
      <w:pPr>
        <w:pStyle w:val="TOC3"/>
        <w:rPr>
          <w:rFonts w:ascii="Times New Roman" w:eastAsiaTheme="minorEastAsia" w:hAnsi="Times New Roman" w:cs="Times New Roman"/>
          <w:i w:val="0"/>
          <w:iCs w:val="0"/>
          <w:noProof/>
          <w:sz w:val="22"/>
          <w:szCs w:val="22"/>
          <w:lang w:val="it-IT" w:eastAsia="it-IT"/>
        </w:rPr>
      </w:pPr>
      <w:hyperlink w:anchor="_Toc67392683" w:history="1">
        <w:r w:rsidR="00A9409A" w:rsidRPr="00A9409A">
          <w:rPr>
            <w:rStyle w:val="Hyperlink"/>
            <w:rFonts w:ascii="Times New Roman" w:eastAsia="Calibri" w:hAnsi="Times New Roman" w:cs="Times New Roman"/>
            <w:i w:val="0"/>
            <w:noProof/>
            <w:lang w:val="en-US"/>
          </w:rPr>
          <w:t>4.2.3.</w:t>
        </w:r>
        <w:r w:rsidR="00A9409A" w:rsidRPr="00A9409A">
          <w:rPr>
            <w:rFonts w:ascii="Times New Roman" w:eastAsiaTheme="minorEastAsia" w:hAnsi="Times New Roman" w:cs="Times New Roman"/>
            <w:i w:val="0"/>
            <w:iCs w:val="0"/>
            <w:noProof/>
            <w:sz w:val="22"/>
            <w:szCs w:val="22"/>
            <w:lang w:val="it-IT" w:eastAsia="it-IT"/>
          </w:rPr>
          <w:tab/>
        </w:r>
        <w:r w:rsidR="00A9409A" w:rsidRPr="00A9409A">
          <w:rPr>
            <w:rStyle w:val="Hyperlink"/>
            <w:rFonts w:ascii="Times New Roman" w:eastAsia="Calibri" w:hAnsi="Times New Roman" w:cs="Times New Roman"/>
            <w:i w:val="0"/>
            <w:noProof/>
            <w:lang w:val="en-GB"/>
          </w:rPr>
          <w:t>Financial Disparity</w:t>
        </w:r>
        <w:r w:rsidR="00A9409A" w:rsidRPr="00A9409A">
          <w:rPr>
            <w:rFonts w:ascii="Times New Roman" w:hAnsi="Times New Roman" w:cs="Times New Roman"/>
            <w:i w:val="0"/>
            <w:noProof/>
            <w:webHidden/>
          </w:rPr>
          <w:tab/>
        </w:r>
        <w:r w:rsidR="00A9409A" w:rsidRPr="00A9409A">
          <w:rPr>
            <w:rFonts w:ascii="Times New Roman" w:hAnsi="Times New Roman" w:cs="Times New Roman"/>
            <w:i w:val="0"/>
            <w:noProof/>
            <w:webHidden/>
          </w:rPr>
          <w:fldChar w:fldCharType="begin"/>
        </w:r>
        <w:r w:rsidR="00A9409A" w:rsidRPr="00A9409A">
          <w:rPr>
            <w:rFonts w:ascii="Times New Roman" w:hAnsi="Times New Roman" w:cs="Times New Roman"/>
            <w:i w:val="0"/>
            <w:noProof/>
            <w:webHidden/>
          </w:rPr>
          <w:instrText xml:space="preserve"> PAGEREF _Toc67392683 \h </w:instrText>
        </w:r>
        <w:r w:rsidR="00A9409A" w:rsidRPr="00A9409A">
          <w:rPr>
            <w:rFonts w:ascii="Times New Roman" w:hAnsi="Times New Roman" w:cs="Times New Roman"/>
            <w:i w:val="0"/>
            <w:noProof/>
            <w:webHidden/>
          </w:rPr>
        </w:r>
        <w:r w:rsidR="00A9409A" w:rsidRPr="00A9409A">
          <w:rPr>
            <w:rFonts w:ascii="Times New Roman" w:hAnsi="Times New Roman" w:cs="Times New Roman"/>
            <w:i w:val="0"/>
            <w:noProof/>
            <w:webHidden/>
          </w:rPr>
          <w:fldChar w:fldCharType="separate"/>
        </w:r>
        <w:r w:rsidR="0028605C">
          <w:rPr>
            <w:rFonts w:ascii="Times New Roman" w:hAnsi="Times New Roman" w:cs="Times New Roman"/>
            <w:i w:val="0"/>
            <w:noProof/>
            <w:webHidden/>
          </w:rPr>
          <w:t>22</w:t>
        </w:r>
        <w:r w:rsidR="00A9409A" w:rsidRPr="00A9409A">
          <w:rPr>
            <w:rFonts w:ascii="Times New Roman" w:hAnsi="Times New Roman" w:cs="Times New Roman"/>
            <w:i w:val="0"/>
            <w:noProof/>
            <w:webHidden/>
          </w:rPr>
          <w:fldChar w:fldCharType="end"/>
        </w:r>
      </w:hyperlink>
    </w:p>
    <w:p w14:paraId="4A9674A0" w14:textId="6582B24C" w:rsidR="00A9409A" w:rsidRPr="00A9409A" w:rsidRDefault="00E1219B" w:rsidP="00A9409A">
      <w:pPr>
        <w:pStyle w:val="TOC1"/>
        <w:rPr>
          <w:rFonts w:ascii="Times New Roman" w:eastAsiaTheme="minorEastAsia" w:hAnsi="Times New Roman" w:cs="Times New Roman"/>
          <w:b w:val="0"/>
          <w:bCs w:val="0"/>
          <w:caps w:val="0"/>
          <w:noProof/>
          <w:sz w:val="22"/>
          <w:szCs w:val="22"/>
          <w:lang w:val="it-IT" w:eastAsia="it-IT"/>
        </w:rPr>
      </w:pPr>
      <w:hyperlink w:anchor="_Toc67392684" w:history="1">
        <w:r w:rsidR="00A9409A" w:rsidRPr="00A9409A">
          <w:rPr>
            <w:rStyle w:val="Hyperlink"/>
            <w:rFonts w:ascii="Times New Roman" w:eastAsia="Calibri" w:hAnsi="Times New Roman" w:cs="Times New Roman"/>
            <w:b w:val="0"/>
            <w:iCs/>
            <w:noProof/>
            <w:lang w:val="en-GB"/>
          </w:rPr>
          <w:t>5.</w:t>
        </w:r>
        <w:r w:rsidR="00A9409A" w:rsidRPr="00A9409A">
          <w:rPr>
            <w:rFonts w:ascii="Times New Roman" w:eastAsiaTheme="minorEastAsia" w:hAnsi="Times New Roman" w:cs="Times New Roman"/>
            <w:b w:val="0"/>
            <w:bCs w:val="0"/>
            <w:caps w:val="0"/>
            <w:noProof/>
            <w:sz w:val="22"/>
            <w:szCs w:val="22"/>
            <w:lang w:val="it-IT" w:eastAsia="it-IT"/>
          </w:rPr>
          <w:tab/>
        </w:r>
        <w:r w:rsidR="00A9409A" w:rsidRPr="00A9409A">
          <w:rPr>
            <w:rStyle w:val="Hyperlink"/>
            <w:rFonts w:ascii="Times New Roman" w:eastAsia="Calibri" w:hAnsi="Times New Roman" w:cs="Times New Roman"/>
            <w:b w:val="0"/>
            <w:iCs/>
            <w:noProof/>
            <w:lang w:val="en-GB"/>
          </w:rPr>
          <w:t>A Qualitative Assessment</w:t>
        </w:r>
        <w:r w:rsidR="00A9409A" w:rsidRPr="00A9409A">
          <w:rPr>
            <w:rFonts w:ascii="Times New Roman" w:hAnsi="Times New Roman" w:cs="Times New Roman"/>
            <w:b w:val="0"/>
            <w:noProof/>
            <w:webHidden/>
          </w:rPr>
          <w:tab/>
        </w:r>
        <w:r w:rsidR="00A9409A" w:rsidRPr="00A9409A">
          <w:rPr>
            <w:rFonts w:ascii="Times New Roman" w:hAnsi="Times New Roman" w:cs="Times New Roman"/>
            <w:b w:val="0"/>
            <w:noProof/>
            <w:webHidden/>
          </w:rPr>
          <w:fldChar w:fldCharType="begin"/>
        </w:r>
        <w:r w:rsidR="00A9409A" w:rsidRPr="00A9409A">
          <w:rPr>
            <w:rFonts w:ascii="Times New Roman" w:hAnsi="Times New Roman" w:cs="Times New Roman"/>
            <w:b w:val="0"/>
            <w:noProof/>
            <w:webHidden/>
          </w:rPr>
          <w:instrText xml:space="preserve"> PAGEREF _Toc67392684 \h </w:instrText>
        </w:r>
        <w:r w:rsidR="00A9409A" w:rsidRPr="00A9409A">
          <w:rPr>
            <w:rFonts w:ascii="Times New Roman" w:hAnsi="Times New Roman" w:cs="Times New Roman"/>
            <w:b w:val="0"/>
            <w:noProof/>
            <w:webHidden/>
          </w:rPr>
        </w:r>
        <w:r w:rsidR="00A9409A" w:rsidRPr="00A9409A">
          <w:rPr>
            <w:rFonts w:ascii="Times New Roman" w:hAnsi="Times New Roman" w:cs="Times New Roman"/>
            <w:b w:val="0"/>
            <w:noProof/>
            <w:webHidden/>
          </w:rPr>
          <w:fldChar w:fldCharType="separate"/>
        </w:r>
        <w:r w:rsidR="0028605C">
          <w:rPr>
            <w:rFonts w:ascii="Times New Roman" w:hAnsi="Times New Roman" w:cs="Times New Roman"/>
            <w:b w:val="0"/>
            <w:noProof/>
            <w:webHidden/>
          </w:rPr>
          <w:t>23</w:t>
        </w:r>
        <w:r w:rsidR="00A9409A" w:rsidRPr="00A9409A">
          <w:rPr>
            <w:rFonts w:ascii="Times New Roman" w:hAnsi="Times New Roman" w:cs="Times New Roman"/>
            <w:b w:val="0"/>
            <w:noProof/>
            <w:webHidden/>
          </w:rPr>
          <w:fldChar w:fldCharType="end"/>
        </w:r>
      </w:hyperlink>
    </w:p>
    <w:p w14:paraId="0904F2B9" w14:textId="7AEE5130" w:rsidR="00A9409A" w:rsidRPr="00A9409A" w:rsidRDefault="00E1219B" w:rsidP="00A9409A">
      <w:pPr>
        <w:pStyle w:val="TOC1"/>
        <w:rPr>
          <w:rFonts w:ascii="Times New Roman" w:eastAsiaTheme="minorEastAsia" w:hAnsi="Times New Roman" w:cs="Times New Roman"/>
          <w:b w:val="0"/>
          <w:bCs w:val="0"/>
          <w:caps w:val="0"/>
          <w:noProof/>
          <w:sz w:val="22"/>
          <w:szCs w:val="22"/>
          <w:lang w:val="it-IT" w:eastAsia="it-IT"/>
        </w:rPr>
      </w:pPr>
      <w:hyperlink w:anchor="_Toc67392685" w:history="1">
        <w:r w:rsidR="00A9409A" w:rsidRPr="00A9409A">
          <w:rPr>
            <w:rStyle w:val="Hyperlink"/>
            <w:rFonts w:ascii="Times New Roman" w:eastAsia="Calibri" w:hAnsi="Times New Roman" w:cs="Times New Roman"/>
            <w:b w:val="0"/>
            <w:iCs/>
            <w:noProof/>
            <w:lang w:val="en-GB"/>
          </w:rPr>
          <w:t>6.</w:t>
        </w:r>
        <w:r w:rsidR="00A9409A" w:rsidRPr="00A9409A">
          <w:rPr>
            <w:rFonts w:ascii="Times New Roman" w:eastAsiaTheme="minorEastAsia" w:hAnsi="Times New Roman" w:cs="Times New Roman"/>
            <w:b w:val="0"/>
            <w:bCs w:val="0"/>
            <w:caps w:val="0"/>
            <w:noProof/>
            <w:sz w:val="22"/>
            <w:szCs w:val="22"/>
            <w:lang w:val="it-IT" w:eastAsia="it-IT"/>
          </w:rPr>
          <w:tab/>
        </w:r>
        <w:r w:rsidR="00A9409A" w:rsidRPr="00A9409A">
          <w:rPr>
            <w:rStyle w:val="Hyperlink"/>
            <w:rFonts w:ascii="Times New Roman" w:eastAsia="Calibri" w:hAnsi="Times New Roman" w:cs="Times New Roman"/>
            <w:b w:val="0"/>
            <w:iCs/>
            <w:noProof/>
            <w:lang w:val="en-GB"/>
          </w:rPr>
          <w:t>The Role of Regulation</w:t>
        </w:r>
        <w:r w:rsidR="00A9409A" w:rsidRPr="00A9409A">
          <w:rPr>
            <w:rFonts w:ascii="Times New Roman" w:hAnsi="Times New Roman" w:cs="Times New Roman"/>
            <w:b w:val="0"/>
            <w:noProof/>
            <w:webHidden/>
          </w:rPr>
          <w:tab/>
        </w:r>
        <w:r w:rsidR="00A9409A" w:rsidRPr="00A9409A">
          <w:rPr>
            <w:rFonts w:ascii="Times New Roman" w:hAnsi="Times New Roman" w:cs="Times New Roman"/>
            <w:b w:val="0"/>
            <w:noProof/>
            <w:webHidden/>
          </w:rPr>
          <w:fldChar w:fldCharType="begin"/>
        </w:r>
        <w:r w:rsidR="00A9409A" w:rsidRPr="00A9409A">
          <w:rPr>
            <w:rFonts w:ascii="Times New Roman" w:hAnsi="Times New Roman" w:cs="Times New Roman"/>
            <w:b w:val="0"/>
            <w:noProof/>
            <w:webHidden/>
          </w:rPr>
          <w:instrText xml:space="preserve"> PAGEREF _Toc67392685 \h </w:instrText>
        </w:r>
        <w:r w:rsidR="00A9409A" w:rsidRPr="00A9409A">
          <w:rPr>
            <w:rFonts w:ascii="Times New Roman" w:hAnsi="Times New Roman" w:cs="Times New Roman"/>
            <w:b w:val="0"/>
            <w:noProof/>
            <w:webHidden/>
          </w:rPr>
        </w:r>
        <w:r w:rsidR="00A9409A" w:rsidRPr="00A9409A">
          <w:rPr>
            <w:rFonts w:ascii="Times New Roman" w:hAnsi="Times New Roman" w:cs="Times New Roman"/>
            <w:b w:val="0"/>
            <w:noProof/>
            <w:webHidden/>
          </w:rPr>
          <w:fldChar w:fldCharType="separate"/>
        </w:r>
        <w:r w:rsidR="0028605C">
          <w:rPr>
            <w:rFonts w:ascii="Times New Roman" w:hAnsi="Times New Roman" w:cs="Times New Roman"/>
            <w:b w:val="0"/>
            <w:noProof/>
            <w:webHidden/>
          </w:rPr>
          <w:t>23</w:t>
        </w:r>
        <w:r w:rsidR="00A9409A" w:rsidRPr="00A9409A">
          <w:rPr>
            <w:rFonts w:ascii="Times New Roman" w:hAnsi="Times New Roman" w:cs="Times New Roman"/>
            <w:b w:val="0"/>
            <w:noProof/>
            <w:webHidden/>
          </w:rPr>
          <w:fldChar w:fldCharType="end"/>
        </w:r>
      </w:hyperlink>
    </w:p>
    <w:p w14:paraId="1DE05975" w14:textId="23C81689" w:rsidR="00A9409A" w:rsidRPr="00A9409A" w:rsidRDefault="00E1219B" w:rsidP="00A9409A">
      <w:pPr>
        <w:pStyle w:val="TOC1"/>
        <w:rPr>
          <w:rFonts w:ascii="Times New Roman" w:eastAsiaTheme="minorEastAsia" w:hAnsi="Times New Roman" w:cs="Times New Roman"/>
          <w:b w:val="0"/>
          <w:bCs w:val="0"/>
          <w:caps w:val="0"/>
          <w:noProof/>
          <w:sz w:val="22"/>
          <w:szCs w:val="22"/>
          <w:lang w:val="it-IT" w:eastAsia="it-IT"/>
        </w:rPr>
      </w:pPr>
      <w:hyperlink w:anchor="_Toc67392686" w:history="1">
        <w:r w:rsidR="00A9409A" w:rsidRPr="00A9409A">
          <w:rPr>
            <w:rStyle w:val="Hyperlink"/>
            <w:rFonts w:ascii="Times New Roman" w:eastAsia="Calibri" w:hAnsi="Times New Roman" w:cs="Times New Roman"/>
            <w:b w:val="0"/>
            <w:iCs/>
            <w:noProof/>
            <w:lang w:val="en-GB"/>
          </w:rPr>
          <w:t>7.</w:t>
        </w:r>
        <w:r w:rsidR="00A9409A" w:rsidRPr="00A9409A">
          <w:rPr>
            <w:rFonts w:ascii="Times New Roman" w:eastAsiaTheme="minorEastAsia" w:hAnsi="Times New Roman" w:cs="Times New Roman"/>
            <w:b w:val="0"/>
            <w:bCs w:val="0"/>
            <w:caps w:val="0"/>
            <w:noProof/>
            <w:sz w:val="22"/>
            <w:szCs w:val="22"/>
            <w:lang w:val="it-IT" w:eastAsia="it-IT"/>
          </w:rPr>
          <w:tab/>
        </w:r>
        <w:r w:rsidR="00A9409A" w:rsidRPr="00A9409A">
          <w:rPr>
            <w:rStyle w:val="Hyperlink"/>
            <w:rFonts w:ascii="Times New Roman" w:eastAsia="Calibri" w:hAnsi="Times New Roman" w:cs="Times New Roman"/>
            <w:b w:val="0"/>
            <w:iCs/>
            <w:noProof/>
            <w:lang w:val="en-GB"/>
          </w:rPr>
          <w:t>The Way Ahead</w:t>
        </w:r>
        <w:r w:rsidR="00A9409A" w:rsidRPr="00A9409A">
          <w:rPr>
            <w:rFonts w:ascii="Times New Roman" w:hAnsi="Times New Roman" w:cs="Times New Roman"/>
            <w:b w:val="0"/>
            <w:noProof/>
            <w:webHidden/>
          </w:rPr>
          <w:tab/>
        </w:r>
        <w:r w:rsidR="00A9409A" w:rsidRPr="00A9409A">
          <w:rPr>
            <w:rFonts w:ascii="Times New Roman" w:hAnsi="Times New Roman" w:cs="Times New Roman"/>
            <w:b w:val="0"/>
            <w:noProof/>
            <w:webHidden/>
          </w:rPr>
          <w:fldChar w:fldCharType="begin"/>
        </w:r>
        <w:r w:rsidR="00A9409A" w:rsidRPr="00A9409A">
          <w:rPr>
            <w:rFonts w:ascii="Times New Roman" w:hAnsi="Times New Roman" w:cs="Times New Roman"/>
            <w:b w:val="0"/>
            <w:noProof/>
            <w:webHidden/>
          </w:rPr>
          <w:instrText xml:space="preserve"> PAGEREF _Toc67392686 \h </w:instrText>
        </w:r>
        <w:r w:rsidR="00A9409A" w:rsidRPr="00A9409A">
          <w:rPr>
            <w:rFonts w:ascii="Times New Roman" w:hAnsi="Times New Roman" w:cs="Times New Roman"/>
            <w:b w:val="0"/>
            <w:noProof/>
            <w:webHidden/>
          </w:rPr>
        </w:r>
        <w:r w:rsidR="00A9409A" w:rsidRPr="00A9409A">
          <w:rPr>
            <w:rFonts w:ascii="Times New Roman" w:hAnsi="Times New Roman" w:cs="Times New Roman"/>
            <w:b w:val="0"/>
            <w:noProof/>
            <w:webHidden/>
          </w:rPr>
          <w:fldChar w:fldCharType="separate"/>
        </w:r>
        <w:r w:rsidR="0028605C">
          <w:rPr>
            <w:rFonts w:ascii="Times New Roman" w:hAnsi="Times New Roman" w:cs="Times New Roman"/>
            <w:b w:val="0"/>
            <w:noProof/>
            <w:webHidden/>
          </w:rPr>
          <w:t>23</w:t>
        </w:r>
        <w:r w:rsidR="00A9409A" w:rsidRPr="00A9409A">
          <w:rPr>
            <w:rFonts w:ascii="Times New Roman" w:hAnsi="Times New Roman" w:cs="Times New Roman"/>
            <w:b w:val="0"/>
            <w:noProof/>
            <w:webHidden/>
          </w:rPr>
          <w:fldChar w:fldCharType="end"/>
        </w:r>
      </w:hyperlink>
    </w:p>
    <w:p w14:paraId="2D06C60C" w14:textId="73C1D0BE" w:rsidR="00FB55AD" w:rsidRDefault="00FB55AD" w:rsidP="00A9409A">
      <w:pPr>
        <w:pStyle w:val="Heading1"/>
        <w:spacing w:before="0" w:after="0"/>
        <w:rPr>
          <w:i/>
          <w:iCs/>
          <w:smallCaps w:val="0"/>
          <w:sz w:val="22"/>
          <w:szCs w:val="22"/>
          <w:lang w:val="en-GB"/>
        </w:rPr>
      </w:pPr>
      <w:r w:rsidRPr="00A9409A">
        <w:rPr>
          <w:iCs/>
          <w:smallCaps w:val="0"/>
          <w:sz w:val="20"/>
          <w:lang w:val="en-GB"/>
        </w:rPr>
        <w:fldChar w:fldCharType="end"/>
      </w:r>
    </w:p>
    <w:p w14:paraId="4BA0C8CB" w14:textId="02345753" w:rsidR="00D6452C" w:rsidRPr="00336C11" w:rsidRDefault="001145BB" w:rsidP="00D22103">
      <w:pPr>
        <w:pStyle w:val="Heading1"/>
        <w:numPr>
          <w:ilvl w:val="0"/>
          <w:numId w:val="28"/>
        </w:numPr>
        <w:spacing w:before="1200" w:after="240"/>
        <w:ind w:left="567" w:hanging="567"/>
        <w:rPr>
          <w:i/>
          <w:iCs/>
          <w:smallCaps w:val="0"/>
          <w:sz w:val="22"/>
          <w:szCs w:val="22"/>
          <w:lang w:val="en-GB"/>
        </w:rPr>
      </w:pPr>
      <w:bookmarkStart w:id="4" w:name="_Toc67392666"/>
      <w:r w:rsidRPr="00336C11">
        <w:rPr>
          <w:i/>
          <w:iCs/>
          <w:smallCaps w:val="0"/>
          <w:sz w:val="22"/>
          <w:szCs w:val="22"/>
          <w:lang w:val="en-GB"/>
        </w:rPr>
        <w:t>Introduction</w:t>
      </w:r>
      <w:bookmarkEnd w:id="1"/>
      <w:bookmarkEnd w:id="2"/>
      <w:bookmarkEnd w:id="3"/>
      <w:bookmarkEnd w:id="4"/>
    </w:p>
    <w:p w14:paraId="4F55D7B4" w14:textId="7EAF5A81" w:rsidR="00D2170D" w:rsidRPr="00B04D42" w:rsidRDefault="00E60B4E" w:rsidP="006A00BB">
      <w:pPr>
        <w:pStyle w:val="NormalWeb"/>
        <w:shd w:val="clear" w:color="auto" w:fill="FFFFFF"/>
        <w:spacing w:before="0" w:beforeAutospacing="0" w:after="0" w:afterAutospacing="0"/>
        <w:ind w:firstLine="567"/>
        <w:jc w:val="both"/>
        <w:rPr>
          <w:rFonts w:eastAsiaTheme="minorHAnsi"/>
          <w:sz w:val="22"/>
          <w:szCs w:val="22"/>
          <w:lang w:val="en-GB" w:eastAsia="en-US"/>
        </w:rPr>
      </w:pPr>
      <w:r w:rsidRPr="005C16FD">
        <w:rPr>
          <w:rFonts w:eastAsiaTheme="minorHAnsi"/>
          <w:sz w:val="22"/>
          <w:szCs w:val="22"/>
          <w:lang w:val="en-GB" w:eastAsia="en-US"/>
        </w:rPr>
        <w:t xml:space="preserve">The governance of </w:t>
      </w:r>
      <w:r w:rsidR="0060573D" w:rsidRPr="005C16FD">
        <w:rPr>
          <w:rFonts w:eastAsiaTheme="minorHAnsi"/>
          <w:sz w:val="22"/>
          <w:szCs w:val="22"/>
          <w:lang w:val="en-GB" w:eastAsia="en-US"/>
        </w:rPr>
        <w:t>close firms</w:t>
      </w:r>
      <w:r w:rsidRPr="005C16FD">
        <w:rPr>
          <w:rFonts w:eastAsiaTheme="minorHAnsi"/>
          <w:sz w:val="22"/>
          <w:szCs w:val="22"/>
          <w:lang w:val="en-GB" w:eastAsia="en-US"/>
        </w:rPr>
        <w:t xml:space="preserve"> is</w:t>
      </w:r>
      <w:r w:rsidR="0060573D" w:rsidRPr="005C16FD">
        <w:rPr>
          <w:rFonts w:eastAsiaTheme="minorHAnsi"/>
          <w:sz w:val="22"/>
          <w:szCs w:val="22"/>
          <w:lang w:val="en-GB" w:eastAsia="en-US"/>
        </w:rPr>
        <w:t xml:space="preserve"> often </w:t>
      </w:r>
      <w:r w:rsidRPr="005C16FD">
        <w:rPr>
          <w:rFonts w:eastAsiaTheme="minorHAnsi"/>
          <w:sz w:val="22"/>
          <w:szCs w:val="22"/>
          <w:lang w:val="en-GB" w:eastAsia="en-US"/>
        </w:rPr>
        <w:t xml:space="preserve">the function of </w:t>
      </w:r>
      <w:r w:rsidR="0060573D" w:rsidRPr="005C16FD">
        <w:rPr>
          <w:rFonts w:eastAsiaTheme="minorHAnsi"/>
          <w:sz w:val="22"/>
          <w:szCs w:val="22"/>
          <w:lang w:val="en-GB" w:eastAsia="en-US"/>
        </w:rPr>
        <w:t xml:space="preserve">a variety of private ordering-based solutions enshrined in a </w:t>
      </w:r>
      <w:r w:rsidR="00D2170D" w:rsidRPr="005C16FD">
        <w:rPr>
          <w:rFonts w:eastAsiaTheme="minorHAnsi"/>
          <w:sz w:val="22"/>
          <w:szCs w:val="22"/>
          <w:lang w:val="en-GB" w:eastAsia="en-US"/>
        </w:rPr>
        <w:t>set of formally distinct but in fact intertwined contracts</w:t>
      </w:r>
      <w:r w:rsidR="00692E74" w:rsidRPr="005C16FD">
        <w:rPr>
          <w:rStyle w:val="FootnoteReference"/>
          <w:rFonts w:ascii="Times New Roman" w:eastAsiaTheme="minorHAnsi" w:hAnsi="Times New Roman"/>
          <w:sz w:val="22"/>
          <w:szCs w:val="22"/>
          <w:lang w:val="en-GB" w:eastAsia="en-US"/>
        </w:rPr>
        <w:t xml:space="preserve"> </w:t>
      </w:r>
      <w:r w:rsidR="00D2170D" w:rsidRPr="005C16FD">
        <w:rPr>
          <w:rFonts w:eastAsiaTheme="minorHAnsi"/>
          <w:sz w:val="22"/>
          <w:szCs w:val="22"/>
          <w:lang w:val="en-GB" w:eastAsia="en-US"/>
        </w:rPr>
        <w:t xml:space="preserve"> </w:t>
      </w:r>
      <w:r w:rsidR="009065CE" w:rsidRPr="005C16FD">
        <w:rPr>
          <w:rFonts w:eastAsiaTheme="minorHAnsi"/>
          <w:sz w:val="22"/>
          <w:szCs w:val="22"/>
          <w:lang w:val="en-GB" w:eastAsia="en-US"/>
        </w:rPr>
        <w:t xml:space="preserve">that </w:t>
      </w:r>
      <w:r w:rsidR="00D2170D" w:rsidRPr="005C16FD">
        <w:rPr>
          <w:rFonts w:eastAsiaTheme="minorHAnsi"/>
          <w:sz w:val="22"/>
          <w:szCs w:val="22"/>
          <w:lang w:val="en-GB" w:eastAsia="en-US"/>
        </w:rPr>
        <w:t xml:space="preserve">allocate control-rights among shareholders </w:t>
      </w:r>
      <w:r w:rsidR="00D2170D" w:rsidRPr="005C16FD">
        <w:rPr>
          <w:rFonts w:eastAsiaTheme="minorHAnsi"/>
          <w:i/>
          <w:iCs/>
          <w:sz w:val="22"/>
          <w:szCs w:val="22"/>
          <w:lang w:val="en-GB" w:eastAsia="en-US"/>
        </w:rPr>
        <w:t>evenly</w:t>
      </w:r>
      <w:r w:rsidR="00D2170D" w:rsidRPr="005C16FD">
        <w:rPr>
          <w:rFonts w:eastAsiaTheme="minorHAnsi"/>
          <w:sz w:val="22"/>
          <w:szCs w:val="22"/>
          <w:lang w:val="en-GB" w:eastAsia="en-US"/>
        </w:rPr>
        <w:t xml:space="preserve"> through </w:t>
      </w:r>
      <w:r w:rsidR="009065CE" w:rsidRPr="005C16FD">
        <w:rPr>
          <w:rFonts w:eastAsiaTheme="minorHAnsi"/>
          <w:sz w:val="22"/>
          <w:szCs w:val="22"/>
          <w:lang w:val="en-GB" w:eastAsia="en-US"/>
        </w:rPr>
        <w:t xml:space="preserve">so-called </w:t>
      </w:r>
      <w:r w:rsidR="00D2170D" w:rsidRPr="005C16FD">
        <w:rPr>
          <w:rFonts w:eastAsiaTheme="minorHAnsi"/>
          <w:sz w:val="22"/>
          <w:szCs w:val="22"/>
          <w:lang w:val="en-GB" w:eastAsia="en-US"/>
        </w:rPr>
        <w:t>“control-sharing arrangements”.</w:t>
      </w:r>
      <w:r w:rsidR="009065CE" w:rsidRPr="005C16FD">
        <w:rPr>
          <w:rStyle w:val="FootnoteReference"/>
          <w:rFonts w:ascii="Times New Roman" w:eastAsiaTheme="minorHAnsi" w:hAnsi="Times New Roman"/>
          <w:sz w:val="22"/>
          <w:szCs w:val="22"/>
          <w:lang w:val="en-GB" w:eastAsia="en-US"/>
        </w:rPr>
        <w:t xml:space="preserve"> </w:t>
      </w:r>
      <w:r w:rsidR="009065CE" w:rsidRPr="005C16FD">
        <w:rPr>
          <w:rStyle w:val="FootnoteReference"/>
          <w:rFonts w:ascii="Times New Roman" w:eastAsiaTheme="minorHAnsi" w:hAnsi="Times New Roman"/>
          <w:sz w:val="22"/>
          <w:szCs w:val="22"/>
          <w:lang w:val="en-GB" w:eastAsia="en-US"/>
        </w:rPr>
        <w:footnoteReference w:id="1"/>
      </w:r>
      <w:r w:rsidR="00D2170D" w:rsidRPr="005C16FD">
        <w:rPr>
          <w:rFonts w:eastAsiaTheme="minorHAnsi"/>
          <w:sz w:val="22"/>
          <w:szCs w:val="22"/>
          <w:lang w:val="en-GB" w:eastAsia="en-US"/>
        </w:rPr>
        <w:t xml:space="preserve"> </w:t>
      </w:r>
      <w:r w:rsidR="009065CE" w:rsidRPr="005C16FD">
        <w:rPr>
          <w:rFonts w:eastAsiaTheme="minorHAnsi"/>
          <w:sz w:val="22"/>
          <w:szCs w:val="22"/>
          <w:lang w:val="en-GB" w:eastAsia="en-US"/>
        </w:rPr>
        <w:t>C</w:t>
      </w:r>
      <w:r w:rsidR="00D2170D" w:rsidRPr="005C16FD">
        <w:rPr>
          <w:rFonts w:eastAsiaTheme="minorHAnsi"/>
          <w:sz w:val="22"/>
          <w:szCs w:val="22"/>
          <w:lang w:val="en-GB" w:eastAsia="en-US"/>
        </w:rPr>
        <w:t>lose firm</w:t>
      </w:r>
      <w:r w:rsidR="009065CE" w:rsidRPr="005C16FD">
        <w:rPr>
          <w:rFonts w:eastAsiaTheme="minorHAnsi"/>
          <w:sz w:val="22"/>
          <w:szCs w:val="22"/>
          <w:lang w:val="en-GB" w:eastAsia="en-US"/>
        </w:rPr>
        <w:t>s</w:t>
      </w:r>
      <w:r w:rsidR="00D2170D" w:rsidRPr="005C16FD">
        <w:rPr>
          <w:rFonts w:eastAsiaTheme="minorHAnsi"/>
          <w:sz w:val="22"/>
          <w:szCs w:val="22"/>
          <w:lang w:val="en-GB" w:eastAsia="en-US"/>
        </w:rPr>
        <w:t xml:space="preserve"> </w:t>
      </w:r>
      <w:r w:rsidR="009065CE" w:rsidRPr="005C16FD">
        <w:rPr>
          <w:rFonts w:eastAsiaTheme="minorHAnsi"/>
          <w:sz w:val="22"/>
          <w:szCs w:val="22"/>
          <w:lang w:val="en-GB" w:eastAsia="en-US"/>
        </w:rPr>
        <w:t xml:space="preserve">with </w:t>
      </w:r>
      <w:r w:rsidR="00D2170D" w:rsidRPr="005C16FD">
        <w:rPr>
          <w:rFonts w:eastAsiaTheme="minorHAnsi"/>
          <w:sz w:val="22"/>
          <w:szCs w:val="22"/>
          <w:lang w:val="en-GB" w:eastAsia="en-US"/>
        </w:rPr>
        <w:t xml:space="preserve">two shareholders </w:t>
      </w:r>
      <w:r w:rsidR="009065CE" w:rsidRPr="005C16FD">
        <w:rPr>
          <w:rFonts w:eastAsiaTheme="minorHAnsi"/>
          <w:sz w:val="22"/>
          <w:szCs w:val="22"/>
          <w:lang w:val="en-GB" w:eastAsia="en-US"/>
        </w:rPr>
        <w:t xml:space="preserve">with </w:t>
      </w:r>
      <w:r w:rsidR="00D2170D" w:rsidRPr="005C16FD">
        <w:rPr>
          <w:rFonts w:eastAsiaTheme="minorHAnsi"/>
          <w:sz w:val="22"/>
          <w:szCs w:val="22"/>
          <w:lang w:val="en-GB" w:eastAsia="en-US"/>
        </w:rPr>
        <w:t>a 50-50% interest</w:t>
      </w:r>
      <w:r w:rsidR="000F0251" w:rsidRPr="005C16FD">
        <w:rPr>
          <w:rFonts w:eastAsiaTheme="minorHAnsi"/>
          <w:sz w:val="22"/>
          <w:szCs w:val="22"/>
          <w:lang w:val="en-GB" w:eastAsia="en-US"/>
        </w:rPr>
        <w:t xml:space="preserve"> in the firm</w:t>
      </w:r>
      <w:r w:rsidR="009065CE" w:rsidRPr="005C16FD">
        <w:rPr>
          <w:rFonts w:eastAsiaTheme="minorHAnsi"/>
          <w:sz w:val="22"/>
          <w:szCs w:val="22"/>
          <w:lang w:val="en-GB" w:eastAsia="en-US"/>
        </w:rPr>
        <w:t xml:space="preserve"> are the most </w:t>
      </w:r>
      <w:r w:rsidR="005A38EC">
        <w:rPr>
          <w:rFonts w:eastAsiaTheme="minorHAnsi"/>
          <w:sz w:val="22"/>
          <w:szCs w:val="22"/>
          <w:lang w:val="en-GB" w:eastAsia="en-US"/>
        </w:rPr>
        <w:t xml:space="preserve">pertinent </w:t>
      </w:r>
      <w:r w:rsidR="009065CE" w:rsidRPr="00B04D42">
        <w:rPr>
          <w:rFonts w:eastAsiaTheme="minorHAnsi"/>
          <w:sz w:val="22"/>
          <w:szCs w:val="22"/>
          <w:lang w:val="en-GB" w:eastAsia="en-US"/>
        </w:rPr>
        <w:t>example</w:t>
      </w:r>
      <w:r w:rsidR="00D2170D" w:rsidRPr="00B04D42">
        <w:rPr>
          <w:rFonts w:eastAsiaTheme="minorHAnsi"/>
          <w:sz w:val="22"/>
          <w:szCs w:val="22"/>
          <w:lang w:val="en-GB" w:eastAsia="en-US"/>
        </w:rPr>
        <w:t xml:space="preserve">. </w:t>
      </w:r>
    </w:p>
    <w:p w14:paraId="20AD0845" w14:textId="71BAA1B0" w:rsidR="00D2170D" w:rsidRPr="00B04D42" w:rsidRDefault="00F351CC" w:rsidP="006A00BB">
      <w:pPr>
        <w:pStyle w:val="NormalWeb"/>
        <w:shd w:val="clear" w:color="auto" w:fill="FFFFFF"/>
        <w:spacing w:before="0" w:beforeAutospacing="0" w:after="0" w:afterAutospacing="0"/>
        <w:ind w:firstLine="567"/>
        <w:jc w:val="both"/>
        <w:rPr>
          <w:rFonts w:eastAsiaTheme="minorHAnsi"/>
          <w:sz w:val="22"/>
          <w:szCs w:val="22"/>
          <w:lang w:val="en-GB" w:eastAsia="en-US"/>
        </w:rPr>
      </w:pPr>
      <w:r w:rsidRPr="00B04D42">
        <w:rPr>
          <w:rFonts w:eastAsiaTheme="minorHAnsi"/>
          <w:sz w:val="22"/>
          <w:szCs w:val="22"/>
          <w:lang w:val="en-GB" w:eastAsia="en-US"/>
        </w:rPr>
        <w:t xml:space="preserve">By </w:t>
      </w:r>
      <w:r w:rsidR="00D465BD" w:rsidRPr="00B04D42">
        <w:rPr>
          <w:rFonts w:eastAsiaTheme="minorHAnsi"/>
          <w:sz w:val="22"/>
          <w:szCs w:val="22"/>
          <w:lang w:val="en-GB" w:eastAsia="en-US"/>
        </w:rPr>
        <w:t xml:space="preserve">subordinating </w:t>
      </w:r>
      <w:r w:rsidRPr="00B04D42">
        <w:rPr>
          <w:rFonts w:eastAsiaTheme="minorHAnsi"/>
          <w:sz w:val="22"/>
          <w:szCs w:val="22"/>
          <w:lang w:val="en-GB" w:eastAsia="en-US"/>
        </w:rPr>
        <w:t xml:space="preserve">decision-making </w:t>
      </w:r>
      <w:r w:rsidR="00D465BD" w:rsidRPr="00B04D42">
        <w:rPr>
          <w:rFonts w:eastAsiaTheme="minorHAnsi"/>
          <w:sz w:val="22"/>
          <w:szCs w:val="22"/>
          <w:lang w:val="en-GB" w:eastAsia="en-US"/>
        </w:rPr>
        <w:t xml:space="preserve">to </w:t>
      </w:r>
      <w:r w:rsidRPr="00B04D42">
        <w:rPr>
          <w:rFonts w:eastAsiaTheme="minorHAnsi"/>
          <w:sz w:val="22"/>
          <w:szCs w:val="22"/>
          <w:lang w:val="en-GB" w:eastAsia="en-US"/>
        </w:rPr>
        <w:t xml:space="preserve">unanimity, </w:t>
      </w:r>
      <w:r w:rsidR="009065CE" w:rsidRPr="00B04D42">
        <w:rPr>
          <w:rFonts w:eastAsiaTheme="minorHAnsi"/>
          <w:sz w:val="22"/>
          <w:szCs w:val="22"/>
          <w:lang w:val="en-GB" w:eastAsia="en-US"/>
        </w:rPr>
        <w:t>control-sharing arrangements</w:t>
      </w:r>
      <w:r w:rsidR="00D2170D" w:rsidRPr="00B04D42">
        <w:rPr>
          <w:rFonts w:eastAsiaTheme="minorHAnsi"/>
          <w:sz w:val="22"/>
          <w:szCs w:val="22"/>
          <w:lang w:val="en-GB" w:eastAsia="en-US"/>
        </w:rPr>
        <w:t xml:space="preserve"> </w:t>
      </w:r>
      <w:r w:rsidRPr="00B04D42">
        <w:rPr>
          <w:rFonts w:eastAsiaTheme="minorHAnsi"/>
          <w:sz w:val="22"/>
          <w:szCs w:val="22"/>
          <w:lang w:val="en-GB" w:eastAsia="en-US"/>
        </w:rPr>
        <w:t xml:space="preserve">do intuitively </w:t>
      </w:r>
      <w:r w:rsidR="00D2170D" w:rsidRPr="00B04D42">
        <w:rPr>
          <w:rFonts w:eastAsiaTheme="minorHAnsi"/>
          <w:sz w:val="22"/>
          <w:szCs w:val="22"/>
          <w:lang w:val="en-GB" w:eastAsia="en-US"/>
        </w:rPr>
        <w:t>come</w:t>
      </w:r>
      <w:r w:rsidRPr="00B04D42">
        <w:rPr>
          <w:rFonts w:eastAsiaTheme="minorHAnsi"/>
          <w:sz w:val="22"/>
          <w:szCs w:val="22"/>
          <w:lang w:val="en-GB" w:eastAsia="en-US"/>
        </w:rPr>
        <w:t xml:space="preserve"> </w:t>
      </w:r>
      <w:r w:rsidR="00D2170D" w:rsidRPr="00B04D42">
        <w:rPr>
          <w:rFonts w:eastAsiaTheme="minorHAnsi"/>
          <w:sz w:val="22"/>
          <w:szCs w:val="22"/>
          <w:lang w:val="en-GB" w:eastAsia="en-US"/>
        </w:rPr>
        <w:t>with the threat of so-called “shareholders deadlocks”</w:t>
      </w:r>
      <w:r w:rsidR="009065CE" w:rsidRPr="00B04D42">
        <w:rPr>
          <w:rFonts w:eastAsiaTheme="minorHAnsi"/>
          <w:sz w:val="22"/>
          <w:szCs w:val="22"/>
          <w:lang w:val="en-GB" w:eastAsia="en-US"/>
        </w:rPr>
        <w:t>.</w:t>
      </w:r>
      <w:r w:rsidR="00D2170D" w:rsidRPr="00B04D42">
        <w:rPr>
          <w:rStyle w:val="FootnoteReference"/>
          <w:rFonts w:ascii="Times New Roman" w:eastAsiaTheme="minorHAnsi" w:hAnsi="Times New Roman"/>
          <w:sz w:val="22"/>
          <w:szCs w:val="22"/>
          <w:lang w:val="en-GB" w:eastAsia="en-US"/>
        </w:rPr>
        <w:footnoteReference w:id="2"/>
      </w:r>
      <w:r w:rsidR="00D2170D" w:rsidRPr="00B04D42">
        <w:rPr>
          <w:rFonts w:eastAsiaTheme="minorHAnsi"/>
          <w:sz w:val="22"/>
          <w:szCs w:val="22"/>
          <w:lang w:val="en-GB" w:eastAsia="en-US"/>
        </w:rPr>
        <w:t xml:space="preserve"> </w:t>
      </w:r>
      <w:r w:rsidR="009065CE" w:rsidRPr="00B04D42">
        <w:rPr>
          <w:rFonts w:eastAsiaTheme="minorHAnsi"/>
          <w:sz w:val="22"/>
          <w:szCs w:val="22"/>
          <w:lang w:val="en-GB" w:eastAsia="en-US"/>
        </w:rPr>
        <w:t xml:space="preserve">Shareholders deadlocks </w:t>
      </w:r>
      <w:r w:rsidR="00D2170D" w:rsidRPr="00B04D42">
        <w:rPr>
          <w:rFonts w:eastAsiaTheme="minorHAnsi"/>
          <w:sz w:val="22"/>
          <w:szCs w:val="22"/>
          <w:lang w:val="en-GB" w:eastAsia="en-US"/>
        </w:rPr>
        <w:t xml:space="preserve">emerge when shareholders cannot agree as to a fundamental business policy, causing a paralysis in the firm’s decision-making process. </w:t>
      </w:r>
    </w:p>
    <w:p w14:paraId="23AE4127" w14:textId="0AA2DBB3" w:rsidR="009C0B9F" w:rsidRPr="00B04D42" w:rsidRDefault="00E60B4E" w:rsidP="006A00BB">
      <w:pPr>
        <w:pStyle w:val="NormalWeb"/>
        <w:shd w:val="clear" w:color="auto" w:fill="FFFFFF"/>
        <w:spacing w:before="0" w:beforeAutospacing="0" w:after="0" w:afterAutospacing="0"/>
        <w:ind w:firstLine="567"/>
        <w:jc w:val="both"/>
        <w:rPr>
          <w:rFonts w:eastAsiaTheme="minorHAnsi"/>
          <w:sz w:val="22"/>
          <w:szCs w:val="22"/>
          <w:lang w:val="en-GB" w:eastAsia="en-US"/>
        </w:rPr>
      </w:pPr>
      <w:r w:rsidRPr="00B04D42">
        <w:rPr>
          <w:rFonts w:eastAsiaTheme="minorHAnsi"/>
          <w:sz w:val="22"/>
          <w:szCs w:val="22"/>
          <w:lang w:val="en-GB" w:eastAsia="en-US"/>
        </w:rPr>
        <w:t xml:space="preserve">One viable </w:t>
      </w:r>
      <w:r w:rsidR="0060573D" w:rsidRPr="00B04D42">
        <w:rPr>
          <w:rFonts w:eastAsiaTheme="minorHAnsi"/>
          <w:sz w:val="22"/>
          <w:szCs w:val="22"/>
          <w:lang w:val="en-GB" w:eastAsia="en-US"/>
        </w:rPr>
        <w:t xml:space="preserve">solution to </w:t>
      </w:r>
      <w:r w:rsidRPr="00B04D42">
        <w:rPr>
          <w:rFonts w:eastAsiaTheme="minorHAnsi"/>
          <w:sz w:val="22"/>
          <w:szCs w:val="22"/>
          <w:lang w:val="en-GB" w:eastAsia="en-US"/>
        </w:rPr>
        <w:t xml:space="preserve">shareholder </w:t>
      </w:r>
      <w:r w:rsidR="0060573D" w:rsidRPr="00B04D42">
        <w:rPr>
          <w:rFonts w:eastAsiaTheme="minorHAnsi"/>
          <w:sz w:val="22"/>
          <w:szCs w:val="22"/>
          <w:lang w:val="en-GB" w:eastAsia="en-US"/>
        </w:rPr>
        <w:t xml:space="preserve">deadlocks are </w:t>
      </w:r>
      <w:r w:rsidR="00D2170D" w:rsidRPr="00B04D42">
        <w:rPr>
          <w:rFonts w:eastAsiaTheme="minorHAnsi"/>
          <w:sz w:val="22"/>
          <w:szCs w:val="22"/>
          <w:lang w:val="en-GB" w:eastAsia="en-US"/>
        </w:rPr>
        <w:t>so-called “buyouts”</w:t>
      </w:r>
      <w:r w:rsidRPr="00B04D42">
        <w:rPr>
          <w:rFonts w:eastAsiaTheme="minorHAnsi"/>
          <w:sz w:val="22"/>
          <w:szCs w:val="22"/>
          <w:lang w:val="en-GB" w:eastAsia="en-US"/>
        </w:rPr>
        <w:t>,</w:t>
      </w:r>
      <w:r w:rsidR="00D2170D" w:rsidRPr="00B04D42">
        <w:rPr>
          <w:rFonts w:eastAsiaTheme="minorHAnsi"/>
          <w:sz w:val="22"/>
          <w:szCs w:val="22"/>
          <w:lang w:val="en-GB" w:eastAsia="en-US"/>
        </w:rPr>
        <w:t xml:space="preserve"> transactions instrumental to causing one deadlocked shareholder to divest so to concentrate control-rights in the hand of only shareholder</w:t>
      </w:r>
      <w:r w:rsidR="009C0B9F" w:rsidRPr="00B04D42">
        <w:rPr>
          <w:rFonts w:eastAsiaTheme="minorHAnsi"/>
          <w:sz w:val="22"/>
          <w:szCs w:val="22"/>
          <w:lang w:val="en-GB" w:eastAsia="en-US"/>
        </w:rPr>
        <w:t xml:space="preserve"> who would then able to </w:t>
      </w:r>
      <w:r w:rsidR="00D2170D" w:rsidRPr="00B04D42">
        <w:rPr>
          <w:rFonts w:eastAsiaTheme="minorHAnsi"/>
          <w:sz w:val="22"/>
          <w:szCs w:val="22"/>
          <w:lang w:val="en-GB" w:eastAsia="en-US"/>
        </w:rPr>
        <w:t xml:space="preserve">retrieve the </w:t>
      </w:r>
      <w:r w:rsidR="00D465BD" w:rsidRPr="00B04D42">
        <w:rPr>
          <w:rFonts w:eastAsiaTheme="minorHAnsi"/>
          <w:sz w:val="22"/>
          <w:szCs w:val="22"/>
          <w:lang w:val="en-GB" w:eastAsia="en-US"/>
        </w:rPr>
        <w:t xml:space="preserve">deadlocked </w:t>
      </w:r>
      <w:r w:rsidR="00D2170D" w:rsidRPr="00B04D42">
        <w:rPr>
          <w:rFonts w:eastAsiaTheme="minorHAnsi"/>
          <w:sz w:val="22"/>
          <w:szCs w:val="22"/>
          <w:lang w:val="en-GB" w:eastAsia="en-US"/>
        </w:rPr>
        <w:t xml:space="preserve">firm from the Serbonian bog into which it had fallen. </w:t>
      </w:r>
    </w:p>
    <w:p w14:paraId="3B9FD3AD" w14:textId="4B9C4041" w:rsidR="00394A3F" w:rsidRPr="00B04D42" w:rsidRDefault="009065CE" w:rsidP="00394A3F">
      <w:pPr>
        <w:pStyle w:val="NormalWeb"/>
        <w:shd w:val="clear" w:color="auto" w:fill="FFFFFF"/>
        <w:spacing w:before="0" w:beforeAutospacing="0" w:after="0" w:afterAutospacing="0"/>
        <w:ind w:firstLine="567"/>
        <w:jc w:val="both"/>
        <w:rPr>
          <w:rFonts w:eastAsiaTheme="minorHAnsi"/>
          <w:sz w:val="22"/>
          <w:szCs w:val="22"/>
          <w:lang w:val="en-GB" w:eastAsia="en-US"/>
        </w:rPr>
      </w:pPr>
      <w:r w:rsidRPr="00B04D42">
        <w:rPr>
          <w:rFonts w:eastAsiaTheme="minorHAnsi"/>
          <w:sz w:val="22"/>
          <w:szCs w:val="22"/>
          <w:lang w:val="en-GB" w:eastAsia="en-US"/>
        </w:rPr>
        <w:lastRenderedPageBreak/>
        <w:t xml:space="preserve">Being just another means to allocate </w:t>
      </w:r>
      <w:r w:rsidR="00D2170D" w:rsidRPr="00B04D42">
        <w:rPr>
          <w:rFonts w:eastAsiaTheme="minorHAnsi"/>
          <w:sz w:val="22"/>
          <w:szCs w:val="22"/>
          <w:lang w:val="en-GB" w:eastAsia="en-US"/>
        </w:rPr>
        <w:t xml:space="preserve">firm value </w:t>
      </w:r>
      <w:r w:rsidRPr="00B04D42">
        <w:rPr>
          <w:rFonts w:eastAsiaTheme="minorHAnsi"/>
          <w:sz w:val="22"/>
          <w:szCs w:val="22"/>
          <w:lang w:val="en-GB" w:eastAsia="en-US"/>
        </w:rPr>
        <w:t>(</w:t>
      </w:r>
      <w:r w:rsidR="00D2170D" w:rsidRPr="00B04D42">
        <w:rPr>
          <w:rFonts w:eastAsiaTheme="minorHAnsi"/>
          <w:sz w:val="22"/>
          <w:szCs w:val="22"/>
          <w:lang w:val="en-GB" w:eastAsia="en-US"/>
        </w:rPr>
        <w:t xml:space="preserve">here </w:t>
      </w:r>
      <w:r w:rsidR="00D2170D" w:rsidRPr="00B04D42">
        <w:rPr>
          <w:sz w:val="22"/>
          <w:szCs w:val="22"/>
          <w:lang w:val="en-GB"/>
        </w:rPr>
        <w:t>taken to be the to-present-discounted value of all future cash flows</w:t>
      </w:r>
      <w:r w:rsidR="00D2170D" w:rsidRPr="00B04D42">
        <w:rPr>
          <w:rStyle w:val="FootnoteReference"/>
          <w:rFonts w:ascii="Times New Roman" w:hAnsi="Times New Roman"/>
          <w:sz w:val="22"/>
          <w:szCs w:val="22"/>
          <w:lang w:val="en-GB"/>
        </w:rPr>
        <w:footnoteReference w:id="3"/>
      </w:r>
      <w:r w:rsidRPr="00B04D42">
        <w:rPr>
          <w:sz w:val="22"/>
          <w:szCs w:val="22"/>
          <w:lang w:val="en-GB"/>
        </w:rPr>
        <w:t>) through price-setting, b</w:t>
      </w:r>
      <w:r w:rsidR="00F0344B" w:rsidRPr="00B04D42">
        <w:rPr>
          <w:rFonts w:eastAsiaTheme="minorHAnsi"/>
          <w:sz w:val="22"/>
          <w:szCs w:val="22"/>
          <w:lang w:val="en-GB" w:eastAsia="en-US"/>
        </w:rPr>
        <w:t>uyout</w:t>
      </w:r>
      <w:r w:rsidRPr="00B04D42">
        <w:rPr>
          <w:rFonts w:eastAsiaTheme="minorHAnsi"/>
          <w:sz w:val="22"/>
          <w:szCs w:val="22"/>
          <w:lang w:val="en-GB" w:eastAsia="en-US"/>
        </w:rPr>
        <w:t>s</w:t>
      </w:r>
      <w:r w:rsidR="00F0344B" w:rsidRPr="00B04D42">
        <w:rPr>
          <w:rFonts w:eastAsiaTheme="minorHAnsi"/>
          <w:sz w:val="22"/>
          <w:szCs w:val="22"/>
          <w:lang w:val="en-GB" w:eastAsia="en-US"/>
        </w:rPr>
        <w:t xml:space="preserve"> </w:t>
      </w:r>
      <w:r w:rsidR="001E51D4" w:rsidRPr="00B04D42">
        <w:rPr>
          <w:rFonts w:eastAsiaTheme="minorHAnsi"/>
          <w:sz w:val="22"/>
          <w:szCs w:val="22"/>
          <w:lang w:val="en-GB" w:eastAsia="en-US"/>
        </w:rPr>
        <w:t>can</w:t>
      </w:r>
      <w:r w:rsidR="00F0344B" w:rsidRPr="00B04D42">
        <w:rPr>
          <w:rFonts w:eastAsiaTheme="minorHAnsi"/>
          <w:sz w:val="22"/>
          <w:szCs w:val="22"/>
          <w:lang w:val="en-GB" w:eastAsia="en-US"/>
        </w:rPr>
        <w:t xml:space="preserve"> be either “fair” or “unfair”</w:t>
      </w:r>
      <w:r w:rsidRPr="00B04D42">
        <w:rPr>
          <w:rFonts w:eastAsiaTheme="minorHAnsi"/>
          <w:sz w:val="22"/>
          <w:szCs w:val="22"/>
          <w:lang w:val="en-GB" w:eastAsia="en-US"/>
        </w:rPr>
        <w:t xml:space="preserve">, depending </w:t>
      </w:r>
      <w:r w:rsidR="008975B7" w:rsidRPr="00B04D42">
        <w:rPr>
          <w:rFonts w:eastAsiaTheme="minorHAnsi"/>
          <w:sz w:val="22"/>
          <w:szCs w:val="22"/>
          <w:lang w:val="en-GB" w:eastAsia="en-US"/>
        </w:rPr>
        <w:t xml:space="preserve">on whether </w:t>
      </w:r>
      <w:r w:rsidRPr="00B04D42">
        <w:rPr>
          <w:rFonts w:eastAsiaTheme="minorHAnsi"/>
          <w:sz w:val="22"/>
          <w:szCs w:val="22"/>
          <w:lang w:val="en-GB" w:eastAsia="en-US"/>
        </w:rPr>
        <w:t xml:space="preserve">each deadlocked shareholder captures or does not capture his own </w:t>
      </w:r>
      <w:r w:rsidRPr="00B04D42">
        <w:rPr>
          <w:rFonts w:eastAsiaTheme="minorHAnsi"/>
          <w:i/>
          <w:sz w:val="22"/>
          <w:szCs w:val="22"/>
          <w:lang w:val="en-GB" w:eastAsia="en-US"/>
        </w:rPr>
        <w:t>pro rata</w:t>
      </w:r>
      <w:r w:rsidRPr="00B04D42">
        <w:rPr>
          <w:rFonts w:eastAsiaTheme="minorHAnsi"/>
          <w:sz w:val="22"/>
          <w:szCs w:val="22"/>
          <w:lang w:val="en-GB" w:eastAsia="en-US"/>
        </w:rPr>
        <w:t xml:space="preserve"> share of post-deadlock firm value</w:t>
      </w:r>
      <w:r w:rsidR="00F0344B" w:rsidRPr="00B04D42">
        <w:rPr>
          <w:rFonts w:eastAsiaTheme="minorHAnsi"/>
          <w:sz w:val="22"/>
          <w:szCs w:val="22"/>
          <w:lang w:val="en-GB" w:eastAsia="en-US"/>
        </w:rPr>
        <w:t xml:space="preserve">. </w:t>
      </w:r>
      <w:r w:rsidR="00F0344B" w:rsidRPr="00B04D42">
        <w:rPr>
          <w:sz w:val="22"/>
          <w:szCs w:val="22"/>
          <w:lang w:val="en-US"/>
        </w:rPr>
        <w:t xml:space="preserve">A buyout is fair when, as per contract, each deadlocked shareholder captures his own </w:t>
      </w:r>
      <w:r w:rsidR="00F0344B" w:rsidRPr="00B04D42">
        <w:rPr>
          <w:i/>
          <w:sz w:val="22"/>
          <w:szCs w:val="22"/>
          <w:lang w:val="en-US"/>
        </w:rPr>
        <w:t>pro rata</w:t>
      </w:r>
      <w:r w:rsidR="00F0344B" w:rsidRPr="00B04D42">
        <w:rPr>
          <w:sz w:val="22"/>
          <w:szCs w:val="22"/>
          <w:lang w:val="en-US"/>
        </w:rPr>
        <w:t xml:space="preserve"> share of post-deadlock firm value. A buyout is unfair when the deadlocked shareholders capture a fraction of post-deadlock that is inconsistent with original contract stipulations</w:t>
      </w:r>
      <w:r w:rsidR="00F0344B" w:rsidRPr="00B04D42">
        <w:rPr>
          <w:rFonts w:eastAsiaTheme="minorHAnsi"/>
          <w:sz w:val="22"/>
          <w:szCs w:val="22"/>
          <w:lang w:val="en-GB" w:eastAsia="en-US"/>
        </w:rPr>
        <w:t>.</w:t>
      </w:r>
      <w:r w:rsidR="00F0344B" w:rsidRPr="00B04D42">
        <w:rPr>
          <w:rStyle w:val="FootnoteReference"/>
          <w:rFonts w:ascii="Times New Roman" w:hAnsi="Times New Roman"/>
          <w:sz w:val="22"/>
          <w:szCs w:val="22"/>
          <w:lang w:val="en-GB"/>
        </w:rPr>
        <w:footnoteReference w:id="4"/>
      </w:r>
      <w:r w:rsidR="006B0E62" w:rsidRPr="00B04D42">
        <w:rPr>
          <w:rFonts w:eastAsiaTheme="minorHAnsi"/>
          <w:sz w:val="22"/>
          <w:szCs w:val="22"/>
          <w:lang w:val="en-GB" w:eastAsia="en-US"/>
        </w:rPr>
        <w:t xml:space="preserve"> </w:t>
      </w:r>
    </w:p>
    <w:p w14:paraId="28118107" w14:textId="1A3C0BEC" w:rsidR="00363F68" w:rsidRPr="00B04D42" w:rsidRDefault="00413D0E" w:rsidP="0060573D">
      <w:pPr>
        <w:ind w:firstLine="567"/>
        <w:jc w:val="both"/>
        <w:rPr>
          <w:rFonts w:eastAsiaTheme="minorHAnsi"/>
          <w:sz w:val="22"/>
          <w:szCs w:val="22"/>
          <w:lang w:val="en-GB" w:eastAsia="en-US"/>
        </w:rPr>
      </w:pPr>
      <w:r w:rsidRPr="00B04D42">
        <w:rPr>
          <w:rFonts w:eastAsiaTheme="minorHAnsi"/>
          <w:sz w:val="22"/>
          <w:szCs w:val="22"/>
          <w:lang w:val="en-GB" w:eastAsia="en-US"/>
        </w:rPr>
        <w:t>I</w:t>
      </w:r>
      <w:r w:rsidR="00310166" w:rsidRPr="00B04D42">
        <w:rPr>
          <w:rFonts w:eastAsiaTheme="minorHAnsi"/>
          <w:sz w:val="22"/>
          <w:szCs w:val="22"/>
          <w:lang w:val="en-GB" w:eastAsia="en-US"/>
        </w:rPr>
        <w:t>n theory</w:t>
      </w:r>
      <w:r w:rsidRPr="00B04D42">
        <w:rPr>
          <w:rFonts w:eastAsiaTheme="minorHAnsi"/>
          <w:sz w:val="22"/>
          <w:szCs w:val="22"/>
          <w:lang w:val="en-GB" w:eastAsia="en-US"/>
        </w:rPr>
        <w:t>,</w:t>
      </w:r>
      <w:r w:rsidR="00310166" w:rsidRPr="00B04D42">
        <w:rPr>
          <w:rFonts w:eastAsiaTheme="minorHAnsi"/>
          <w:sz w:val="22"/>
          <w:szCs w:val="22"/>
          <w:lang w:val="en-GB" w:eastAsia="en-US"/>
        </w:rPr>
        <w:t xml:space="preserve"> </w:t>
      </w:r>
      <w:r w:rsidR="00F0344B" w:rsidRPr="00B04D42">
        <w:rPr>
          <w:rFonts w:eastAsiaTheme="minorHAnsi"/>
          <w:sz w:val="22"/>
          <w:szCs w:val="22"/>
          <w:lang w:val="en-GB" w:eastAsia="en-US"/>
        </w:rPr>
        <w:t xml:space="preserve">several </w:t>
      </w:r>
      <w:r w:rsidR="009065CE" w:rsidRPr="00B04D42">
        <w:rPr>
          <w:rFonts w:eastAsiaTheme="minorHAnsi"/>
          <w:sz w:val="22"/>
          <w:szCs w:val="22"/>
          <w:lang w:val="en-GB" w:eastAsia="en-US"/>
        </w:rPr>
        <w:t xml:space="preserve">transactional </w:t>
      </w:r>
      <w:r w:rsidR="00F0344B" w:rsidRPr="00B04D42">
        <w:rPr>
          <w:rFonts w:eastAsiaTheme="minorHAnsi"/>
          <w:sz w:val="22"/>
          <w:szCs w:val="22"/>
          <w:lang w:val="en-GB" w:eastAsia="en-US"/>
        </w:rPr>
        <w:t>techniques for a buyout</w:t>
      </w:r>
      <w:r w:rsidRPr="00B04D42">
        <w:rPr>
          <w:rFonts w:eastAsiaTheme="minorHAnsi"/>
          <w:sz w:val="22"/>
          <w:szCs w:val="22"/>
          <w:lang w:val="en-GB" w:eastAsia="en-US"/>
        </w:rPr>
        <w:t xml:space="preserve"> are available.</w:t>
      </w:r>
      <w:r w:rsidR="00F0344B" w:rsidRPr="00B04D42">
        <w:rPr>
          <w:rFonts w:eastAsiaTheme="minorHAnsi"/>
          <w:sz w:val="22"/>
          <w:szCs w:val="22"/>
          <w:lang w:val="en-GB" w:eastAsia="en-US"/>
        </w:rPr>
        <w:t xml:space="preserve"> </w:t>
      </w:r>
      <w:r w:rsidR="0060573D" w:rsidRPr="00B04D42">
        <w:rPr>
          <w:rFonts w:eastAsiaTheme="minorHAnsi"/>
          <w:sz w:val="22"/>
          <w:szCs w:val="22"/>
          <w:lang w:val="en-GB" w:eastAsia="en-US"/>
        </w:rPr>
        <w:t xml:space="preserve">Two such techniques are extemporary negotiations and the buyout procedure for which Russian Roulette provisions make the bed. </w:t>
      </w:r>
    </w:p>
    <w:p w14:paraId="7ACA5F18" w14:textId="08C3EA9E" w:rsidR="00BC7D05" w:rsidRPr="00B04D42" w:rsidRDefault="00363F68" w:rsidP="0060573D">
      <w:pPr>
        <w:pStyle w:val="NormalWeb"/>
        <w:shd w:val="clear" w:color="auto" w:fill="FFFFFF"/>
        <w:spacing w:before="0" w:beforeAutospacing="0" w:after="0" w:afterAutospacing="0"/>
        <w:ind w:firstLine="567"/>
        <w:jc w:val="both"/>
        <w:rPr>
          <w:sz w:val="22"/>
          <w:szCs w:val="22"/>
          <w:lang w:val="en-GB"/>
        </w:rPr>
      </w:pPr>
      <w:r w:rsidRPr="00B04D42">
        <w:rPr>
          <w:sz w:val="22"/>
          <w:szCs w:val="22"/>
          <w:lang w:val="en-GB"/>
        </w:rPr>
        <w:t>The discussion articulated herein</w:t>
      </w:r>
      <w:r w:rsidR="0060573D" w:rsidRPr="00B04D42">
        <w:rPr>
          <w:sz w:val="22"/>
          <w:szCs w:val="22"/>
          <w:lang w:val="en-GB"/>
        </w:rPr>
        <w:t xml:space="preserve"> </w:t>
      </w:r>
      <w:r w:rsidR="008975B7" w:rsidRPr="00B04D42">
        <w:rPr>
          <w:sz w:val="22"/>
          <w:szCs w:val="22"/>
          <w:lang w:val="en-GB"/>
        </w:rPr>
        <w:t xml:space="preserve">considers how effective these two buyout techniques are in leading to fair buyouts. In essence, it </w:t>
      </w:r>
      <w:r w:rsidRPr="00B04D42">
        <w:rPr>
          <w:sz w:val="22"/>
          <w:szCs w:val="22"/>
          <w:lang w:val="en-GB"/>
        </w:rPr>
        <w:t xml:space="preserve">shows </w:t>
      </w:r>
      <w:r w:rsidR="0060573D" w:rsidRPr="00B04D42">
        <w:rPr>
          <w:sz w:val="22"/>
          <w:szCs w:val="22"/>
          <w:lang w:val="en-GB"/>
        </w:rPr>
        <w:t xml:space="preserve">that Russian Roulette provisions and the ensuing buyout procedure are overall more effective than extemporary negotiations in supporting the deadlocked shareholders’ quest for fair buyouts. </w:t>
      </w:r>
      <w:r w:rsidRPr="00B04D42">
        <w:rPr>
          <w:sz w:val="22"/>
          <w:szCs w:val="22"/>
          <w:lang w:val="en-GB"/>
        </w:rPr>
        <w:t xml:space="preserve">Building on this partial conclusion, the discussion </w:t>
      </w:r>
      <w:r w:rsidR="0060573D" w:rsidRPr="00B04D42">
        <w:rPr>
          <w:sz w:val="22"/>
          <w:szCs w:val="22"/>
          <w:lang w:val="en-GB"/>
        </w:rPr>
        <w:t xml:space="preserve">also frames the role of </w:t>
      </w:r>
      <w:bookmarkStart w:id="5" w:name="_Toc508979601"/>
      <w:bookmarkStart w:id="6" w:name="_Toc518336656"/>
      <w:r w:rsidR="0060573D" w:rsidRPr="00B04D42">
        <w:rPr>
          <w:sz w:val="22"/>
          <w:szCs w:val="22"/>
          <w:lang w:val="en-GB"/>
        </w:rPr>
        <w:t>l</w:t>
      </w:r>
      <w:r w:rsidR="00413D0E" w:rsidRPr="00B04D42">
        <w:rPr>
          <w:sz w:val="22"/>
          <w:szCs w:val="22"/>
          <w:lang w:val="en-GB"/>
        </w:rPr>
        <w:t xml:space="preserve">egal intervention </w:t>
      </w:r>
      <w:r w:rsidR="001E51D4" w:rsidRPr="00B04D42">
        <w:rPr>
          <w:sz w:val="22"/>
          <w:szCs w:val="22"/>
          <w:lang w:val="en-GB"/>
        </w:rPr>
        <w:t>(</w:t>
      </w:r>
      <w:r w:rsidR="00413D0E" w:rsidRPr="00B04D42">
        <w:rPr>
          <w:sz w:val="22"/>
          <w:szCs w:val="22"/>
          <w:lang w:val="en-GB"/>
        </w:rPr>
        <w:t>simply “regulation”</w:t>
      </w:r>
      <w:r w:rsidR="00413D0E" w:rsidRPr="00B04D42">
        <w:rPr>
          <w:rStyle w:val="FootnoteReference"/>
          <w:rFonts w:ascii="Times New Roman" w:hAnsi="Times New Roman"/>
          <w:sz w:val="22"/>
          <w:szCs w:val="22"/>
          <w:lang w:val="en-GB"/>
        </w:rPr>
        <w:footnoteReference w:id="5"/>
      </w:r>
      <w:r w:rsidR="001E51D4" w:rsidRPr="00B04D42">
        <w:rPr>
          <w:sz w:val="22"/>
          <w:szCs w:val="22"/>
          <w:lang w:val="en-GB"/>
        </w:rPr>
        <w:t>)</w:t>
      </w:r>
      <w:r w:rsidR="00413D0E" w:rsidRPr="00B04D42">
        <w:rPr>
          <w:sz w:val="22"/>
          <w:szCs w:val="22"/>
          <w:lang w:val="en-GB"/>
        </w:rPr>
        <w:t xml:space="preserve">. </w:t>
      </w:r>
      <w:r w:rsidR="001E51D4" w:rsidRPr="00B04D42">
        <w:rPr>
          <w:sz w:val="22"/>
          <w:szCs w:val="22"/>
          <w:lang w:val="en-GB"/>
        </w:rPr>
        <w:t>R</w:t>
      </w:r>
      <w:r w:rsidR="00FF2F0C" w:rsidRPr="00B04D42">
        <w:rPr>
          <w:sz w:val="22"/>
          <w:szCs w:val="22"/>
          <w:lang w:val="en-GB"/>
        </w:rPr>
        <w:t xml:space="preserve">egulation should support the adoption of </w:t>
      </w:r>
      <w:r w:rsidR="00413D0E" w:rsidRPr="00B04D42">
        <w:rPr>
          <w:sz w:val="22"/>
          <w:szCs w:val="22"/>
          <w:lang w:val="en-GB"/>
        </w:rPr>
        <w:t xml:space="preserve">Russian Roulette provisions </w:t>
      </w:r>
      <w:r w:rsidR="00FF2F0C" w:rsidRPr="00B04D42">
        <w:rPr>
          <w:sz w:val="22"/>
          <w:szCs w:val="22"/>
          <w:lang w:val="en-GB"/>
        </w:rPr>
        <w:t xml:space="preserve">as well as addressing their </w:t>
      </w:r>
      <w:r w:rsidR="00413D0E" w:rsidRPr="00B04D42">
        <w:rPr>
          <w:sz w:val="22"/>
          <w:szCs w:val="22"/>
          <w:lang w:val="en-GB"/>
        </w:rPr>
        <w:t>dysfunctionalities</w:t>
      </w:r>
      <w:r w:rsidR="00FF2F0C" w:rsidRPr="00B04D42">
        <w:rPr>
          <w:sz w:val="22"/>
          <w:szCs w:val="22"/>
          <w:lang w:val="en-GB"/>
        </w:rPr>
        <w:t xml:space="preserve"> </w:t>
      </w:r>
      <w:r w:rsidR="00413D0E" w:rsidRPr="00B04D42">
        <w:rPr>
          <w:sz w:val="22"/>
          <w:szCs w:val="22"/>
          <w:lang w:val="en-GB"/>
        </w:rPr>
        <w:t>through safeguards and remedies that - whether coming in the form of ex-ante rules or ex-post standards – may counteract present malfeasance and indirectly deter future wrongdoing.</w:t>
      </w:r>
    </w:p>
    <w:p w14:paraId="69A2D36B" w14:textId="539A9F5F" w:rsidR="009065CE" w:rsidRDefault="00BA79E9" w:rsidP="00B32BDA">
      <w:pPr>
        <w:pStyle w:val="FootnoteText"/>
        <w:snapToGrid w:val="0"/>
        <w:ind w:firstLine="567"/>
        <w:jc w:val="both"/>
        <w:rPr>
          <w:sz w:val="22"/>
          <w:szCs w:val="22"/>
          <w:lang w:val="en-GB"/>
        </w:rPr>
      </w:pPr>
      <w:r w:rsidRPr="00B04D42">
        <w:rPr>
          <w:sz w:val="22"/>
          <w:szCs w:val="22"/>
          <w:lang w:val="en-GB"/>
        </w:rPr>
        <w:t xml:space="preserve">A couple of </w:t>
      </w:r>
      <w:r w:rsidR="00946973" w:rsidRPr="00B04D42">
        <w:rPr>
          <w:sz w:val="22"/>
          <w:szCs w:val="22"/>
          <w:lang w:val="en-GB"/>
        </w:rPr>
        <w:t>qualifications</w:t>
      </w:r>
      <w:r w:rsidR="004F22E5" w:rsidRPr="00B04D42">
        <w:rPr>
          <w:sz w:val="22"/>
          <w:szCs w:val="22"/>
          <w:lang w:val="en-GB"/>
        </w:rPr>
        <w:t xml:space="preserve"> help defining the scope </w:t>
      </w:r>
      <w:r w:rsidR="008975B7" w:rsidRPr="00B04D42">
        <w:rPr>
          <w:sz w:val="22"/>
          <w:szCs w:val="22"/>
          <w:lang w:val="en-GB"/>
        </w:rPr>
        <w:t>of this analysis</w:t>
      </w:r>
      <w:r w:rsidR="008D4571" w:rsidRPr="00B04D42">
        <w:rPr>
          <w:sz w:val="22"/>
          <w:szCs w:val="22"/>
          <w:lang w:val="en-GB"/>
        </w:rPr>
        <w:t xml:space="preserve">. </w:t>
      </w:r>
      <w:r w:rsidR="008439FA" w:rsidRPr="00B04D42">
        <w:rPr>
          <w:sz w:val="22"/>
          <w:szCs w:val="22"/>
          <w:lang w:val="en-GB"/>
        </w:rPr>
        <w:t xml:space="preserve">First, </w:t>
      </w:r>
      <w:r w:rsidR="00C925A1" w:rsidRPr="00B04D42">
        <w:rPr>
          <w:sz w:val="22"/>
          <w:szCs w:val="22"/>
          <w:lang w:val="en-GB"/>
        </w:rPr>
        <w:t xml:space="preserve">Russian Roulette provisions here are taken for their </w:t>
      </w:r>
      <w:r w:rsidR="00C925A1" w:rsidRPr="00B04D42">
        <w:rPr>
          <w:iCs/>
          <w:sz w:val="22"/>
          <w:szCs w:val="22"/>
          <w:lang w:val="en-GB"/>
        </w:rPr>
        <w:t>design</w:t>
      </w:r>
      <w:r w:rsidR="00C925A1" w:rsidRPr="00B04D42">
        <w:rPr>
          <w:sz w:val="22"/>
          <w:szCs w:val="22"/>
          <w:lang w:val="en-GB"/>
        </w:rPr>
        <w:t xml:space="preserve">, not their </w:t>
      </w:r>
      <w:r w:rsidR="00C925A1" w:rsidRPr="00B04D42">
        <w:rPr>
          <w:iCs/>
          <w:sz w:val="22"/>
          <w:szCs w:val="22"/>
          <w:lang w:val="en-GB"/>
        </w:rPr>
        <w:t>denomination</w:t>
      </w:r>
      <w:r w:rsidR="005C16FD" w:rsidRPr="00B04D42">
        <w:rPr>
          <w:sz w:val="22"/>
          <w:szCs w:val="22"/>
          <w:lang w:val="en-GB"/>
        </w:rPr>
        <w:t>.</w:t>
      </w:r>
      <w:r w:rsidR="005A38EC" w:rsidRPr="00B04D42">
        <w:rPr>
          <w:rStyle w:val="FootnoteReference"/>
          <w:rFonts w:ascii="Times New Roman" w:hAnsi="Times New Roman"/>
          <w:sz w:val="22"/>
          <w:szCs w:val="22"/>
          <w:lang w:val="en-GB"/>
        </w:rPr>
        <w:footnoteReference w:id="6"/>
      </w:r>
      <w:r w:rsidR="005A38EC">
        <w:rPr>
          <w:sz w:val="22"/>
          <w:szCs w:val="22"/>
          <w:lang w:val="en-GB"/>
        </w:rPr>
        <w:t xml:space="preserve"> </w:t>
      </w:r>
      <w:r w:rsidR="005C16FD">
        <w:rPr>
          <w:sz w:val="22"/>
          <w:szCs w:val="22"/>
          <w:lang w:val="en-GB"/>
        </w:rPr>
        <w:t xml:space="preserve">Nor is important whether such private ordering-based solutions are part to the firm’s constitutional documents or a component of ancillary shareholder agreements. </w:t>
      </w:r>
      <w:r w:rsidR="008975B7" w:rsidRPr="00B04D42">
        <w:rPr>
          <w:sz w:val="22"/>
          <w:szCs w:val="22"/>
          <w:lang w:val="en-US"/>
        </w:rPr>
        <w:t xml:space="preserve">The </w:t>
      </w:r>
      <w:r w:rsidR="005C16FD">
        <w:rPr>
          <w:sz w:val="22"/>
          <w:szCs w:val="22"/>
          <w:lang w:val="en-US"/>
        </w:rPr>
        <w:t xml:space="preserve">actual </w:t>
      </w:r>
      <w:r w:rsidR="008975B7" w:rsidRPr="00B04D42">
        <w:rPr>
          <w:sz w:val="22"/>
          <w:szCs w:val="22"/>
          <w:lang w:val="en-US"/>
        </w:rPr>
        <w:t>perimeter of the discussion ought to be defined accordingly.</w:t>
      </w:r>
      <w:r w:rsidR="00C925A1" w:rsidRPr="00B04D42">
        <w:rPr>
          <w:sz w:val="22"/>
          <w:szCs w:val="22"/>
          <w:lang w:val="en-US"/>
        </w:rPr>
        <w:t xml:space="preserve"> </w:t>
      </w:r>
      <w:r w:rsidR="00E145B2" w:rsidRPr="00B04D42">
        <w:rPr>
          <w:sz w:val="22"/>
          <w:szCs w:val="22"/>
          <w:lang w:val="en-US"/>
        </w:rPr>
        <w:t>Second</w:t>
      </w:r>
      <w:r w:rsidR="00C925A1" w:rsidRPr="00B04D42">
        <w:rPr>
          <w:sz w:val="22"/>
          <w:szCs w:val="22"/>
          <w:lang w:val="en-US"/>
        </w:rPr>
        <w:t xml:space="preserve">, </w:t>
      </w:r>
      <w:r w:rsidR="004F22E5" w:rsidRPr="00B04D42">
        <w:rPr>
          <w:sz w:val="22"/>
          <w:szCs w:val="22"/>
          <w:lang w:val="en-US"/>
        </w:rPr>
        <w:t xml:space="preserve">the focus here is on the scenario in which deadlocked firm has only two shareholders who hold </w:t>
      </w:r>
      <w:r w:rsidR="008975B7" w:rsidRPr="00B04D42">
        <w:rPr>
          <w:sz w:val="22"/>
          <w:szCs w:val="22"/>
          <w:lang w:val="en-US"/>
        </w:rPr>
        <w:t xml:space="preserve">two </w:t>
      </w:r>
      <w:r w:rsidR="004F22E5" w:rsidRPr="00B04D42">
        <w:rPr>
          <w:sz w:val="22"/>
          <w:szCs w:val="22"/>
          <w:lang w:val="en-US"/>
        </w:rPr>
        <w:t>equal shareholdings</w:t>
      </w:r>
      <w:r w:rsidR="005C16FD">
        <w:rPr>
          <w:sz w:val="22"/>
          <w:szCs w:val="22"/>
          <w:lang w:val="en-US"/>
        </w:rPr>
        <w:t xml:space="preserve">, but it is </w:t>
      </w:r>
      <w:r w:rsidR="004F22E5" w:rsidRPr="00B04D42">
        <w:rPr>
          <w:sz w:val="22"/>
          <w:szCs w:val="22"/>
          <w:lang w:val="en-US"/>
        </w:rPr>
        <w:t>generalizable to other situations</w:t>
      </w:r>
      <w:r w:rsidR="005C16FD">
        <w:rPr>
          <w:sz w:val="22"/>
          <w:szCs w:val="22"/>
          <w:lang w:val="en-US"/>
        </w:rPr>
        <w:t xml:space="preserve">. One such situation is that </w:t>
      </w:r>
      <w:r w:rsidR="004F22E5" w:rsidRPr="00B04D42">
        <w:rPr>
          <w:sz w:val="22"/>
          <w:szCs w:val="22"/>
          <w:lang w:val="en-US"/>
        </w:rPr>
        <w:t xml:space="preserve">in which there are more shareholders who coalesce into two fractions and/or the deadlocked shareholders have unequal equity stakes, provided that price is to be set on a mere </w:t>
      </w:r>
      <w:r w:rsidR="004F22E5" w:rsidRPr="00B04D42">
        <w:rPr>
          <w:i/>
          <w:sz w:val="22"/>
          <w:szCs w:val="22"/>
          <w:lang w:val="en-US"/>
        </w:rPr>
        <w:t>pro rata</w:t>
      </w:r>
      <w:r w:rsidR="004F22E5" w:rsidRPr="00B04D42">
        <w:rPr>
          <w:sz w:val="22"/>
          <w:szCs w:val="22"/>
          <w:lang w:val="en-US"/>
        </w:rPr>
        <w:t xml:space="preserve"> basis.</w:t>
      </w:r>
      <w:r w:rsidR="004F22E5" w:rsidRPr="00B04D42">
        <w:rPr>
          <w:rStyle w:val="FootnoteReference"/>
          <w:rFonts w:ascii="Times New Roman" w:hAnsi="Times New Roman"/>
          <w:sz w:val="22"/>
          <w:szCs w:val="22"/>
          <w:lang w:val="en-GB"/>
        </w:rPr>
        <w:footnoteReference w:id="7"/>
      </w:r>
      <w:r>
        <w:rPr>
          <w:sz w:val="22"/>
          <w:szCs w:val="22"/>
          <w:lang w:val="en-GB"/>
        </w:rPr>
        <w:t xml:space="preserve"> </w:t>
      </w:r>
    </w:p>
    <w:p w14:paraId="2BF1093F" w14:textId="6429F3C1" w:rsidR="005C16FD" w:rsidRDefault="005A38EC" w:rsidP="006A00BB">
      <w:pPr>
        <w:ind w:firstLine="567"/>
        <w:jc w:val="both"/>
        <w:rPr>
          <w:sz w:val="22"/>
          <w:szCs w:val="22"/>
          <w:lang w:val="en-GB"/>
        </w:rPr>
      </w:pPr>
      <w:r>
        <w:rPr>
          <w:sz w:val="22"/>
          <w:szCs w:val="22"/>
          <w:lang w:val="en-GB"/>
        </w:rPr>
        <w:t>T</w:t>
      </w:r>
      <w:r w:rsidR="005C16FD" w:rsidRPr="00B04D42">
        <w:rPr>
          <w:sz w:val="22"/>
          <w:szCs w:val="22"/>
          <w:lang w:val="en-GB"/>
        </w:rPr>
        <w:t xml:space="preserve">he discussion articulated </w:t>
      </w:r>
      <w:r w:rsidR="005C16FD">
        <w:rPr>
          <w:sz w:val="22"/>
          <w:szCs w:val="22"/>
          <w:lang w:val="en-GB"/>
        </w:rPr>
        <w:t xml:space="preserve">is useful </w:t>
      </w:r>
      <w:r w:rsidR="005C16FD" w:rsidRPr="00B04D42">
        <w:rPr>
          <w:sz w:val="22"/>
          <w:szCs w:val="22"/>
          <w:lang w:val="en-GB"/>
        </w:rPr>
        <w:t xml:space="preserve">two main respects. On the one hand, it can support a more nuanced and consistent approach to law making and adjudication by legislators and judges, respectively. On the other hand, it may enrich the legal discussion, which has thus far looked at these private ordering-based solutions through merely </w:t>
      </w:r>
      <w:r w:rsidR="005C16FD" w:rsidRPr="00B04D42">
        <w:rPr>
          <w:sz w:val="22"/>
          <w:szCs w:val="22"/>
          <w:lang w:val="en-GB"/>
        </w:rPr>
        <w:lastRenderedPageBreak/>
        <w:t>formalistic lenses</w:t>
      </w:r>
      <w:r w:rsidR="00FB5C39">
        <w:rPr>
          <w:sz w:val="22"/>
          <w:szCs w:val="22"/>
          <w:lang w:val="en-GB"/>
        </w:rPr>
        <w:t xml:space="preserve">, thus </w:t>
      </w:r>
      <w:r w:rsidR="005C16FD" w:rsidRPr="00B04D42">
        <w:rPr>
          <w:sz w:val="22"/>
          <w:szCs w:val="22"/>
          <w:lang w:val="en-GB"/>
        </w:rPr>
        <w:t>fall</w:t>
      </w:r>
      <w:r w:rsidR="00FB5C39">
        <w:rPr>
          <w:sz w:val="22"/>
          <w:szCs w:val="22"/>
          <w:lang w:val="en-GB"/>
        </w:rPr>
        <w:t>ing</w:t>
      </w:r>
      <w:r w:rsidR="005C16FD" w:rsidRPr="00B04D42">
        <w:rPr>
          <w:sz w:val="22"/>
          <w:szCs w:val="22"/>
          <w:lang w:val="en-GB"/>
        </w:rPr>
        <w:t xml:space="preserve"> short of </w:t>
      </w:r>
      <w:r w:rsidR="00FB5C39">
        <w:rPr>
          <w:sz w:val="22"/>
          <w:szCs w:val="22"/>
          <w:lang w:val="en-GB"/>
        </w:rPr>
        <w:t>appreciating the value of decentralized law-making in this context and theorizing legal intervention</w:t>
      </w:r>
      <w:r w:rsidR="00FB5C39" w:rsidRPr="00FB5C39">
        <w:rPr>
          <w:sz w:val="22"/>
          <w:szCs w:val="22"/>
          <w:lang w:val="en-GB"/>
        </w:rPr>
        <w:t xml:space="preserve"> </w:t>
      </w:r>
      <w:r w:rsidR="00FB5C39">
        <w:rPr>
          <w:sz w:val="22"/>
          <w:szCs w:val="22"/>
          <w:lang w:val="en-GB"/>
        </w:rPr>
        <w:t xml:space="preserve">consistently. </w:t>
      </w:r>
    </w:p>
    <w:p w14:paraId="263A1974" w14:textId="13197A94" w:rsidR="00A856AD" w:rsidRPr="00336C11" w:rsidRDefault="00F054CE" w:rsidP="006A00BB">
      <w:pPr>
        <w:ind w:firstLine="567"/>
        <w:jc w:val="both"/>
        <w:rPr>
          <w:sz w:val="22"/>
          <w:szCs w:val="22"/>
          <w:lang w:val="en-GB"/>
        </w:rPr>
      </w:pPr>
      <w:r w:rsidRPr="00336C11">
        <w:rPr>
          <w:sz w:val="22"/>
          <w:szCs w:val="22"/>
          <w:lang w:val="en-GB"/>
        </w:rPr>
        <w:t>T</w:t>
      </w:r>
      <w:r w:rsidR="005E5E8C" w:rsidRPr="00336C11">
        <w:rPr>
          <w:sz w:val="22"/>
          <w:szCs w:val="22"/>
          <w:lang w:val="en-GB"/>
        </w:rPr>
        <w:t xml:space="preserve">he </w:t>
      </w:r>
      <w:r w:rsidR="00A856AD" w:rsidRPr="00336C11">
        <w:rPr>
          <w:sz w:val="22"/>
          <w:szCs w:val="22"/>
          <w:lang w:val="en-GB"/>
        </w:rPr>
        <w:t xml:space="preserve">discussion </w:t>
      </w:r>
      <w:r w:rsidRPr="00336C11">
        <w:rPr>
          <w:sz w:val="22"/>
          <w:szCs w:val="22"/>
          <w:lang w:val="en-GB"/>
        </w:rPr>
        <w:t xml:space="preserve">unfolds </w:t>
      </w:r>
      <w:r w:rsidR="00AE0C72" w:rsidRPr="00336C11">
        <w:rPr>
          <w:sz w:val="22"/>
          <w:szCs w:val="22"/>
          <w:lang w:val="en-GB"/>
        </w:rPr>
        <w:t>as follows</w:t>
      </w:r>
      <w:r w:rsidR="00A856AD" w:rsidRPr="00336C11">
        <w:rPr>
          <w:sz w:val="22"/>
          <w:szCs w:val="22"/>
          <w:lang w:val="en-GB"/>
        </w:rPr>
        <w:t>. Section 2 sets the stage</w:t>
      </w:r>
      <w:r w:rsidR="002809B2" w:rsidRPr="00336C11">
        <w:rPr>
          <w:sz w:val="22"/>
          <w:szCs w:val="22"/>
          <w:lang w:val="en-GB"/>
        </w:rPr>
        <w:t xml:space="preserve"> </w:t>
      </w:r>
      <w:r w:rsidRPr="00336C11">
        <w:rPr>
          <w:sz w:val="22"/>
          <w:szCs w:val="22"/>
          <w:lang w:val="en-GB"/>
        </w:rPr>
        <w:t xml:space="preserve">by discussing </w:t>
      </w:r>
      <w:r w:rsidR="002809B2" w:rsidRPr="00336C11">
        <w:rPr>
          <w:sz w:val="22"/>
          <w:szCs w:val="22"/>
          <w:lang w:val="en-GB"/>
        </w:rPr>
        <w:t>close firms</w:t>
      </w:r>
      <w:r w:rsidR="00E11229">
        <w:rPr>
          <w:sz w:val="22"/>
          <w:szCs w:val="22"/>
          <w:lang w:val="en-GB"/>
        </w:rPr>
        <w:t>.</w:t>
      </w:r>
      <w:r w:rsidR="00E11229" w:rsidRPr="00336C11">
        <w:rPr>
          <w:sz w:val="22"/>
          <w:szCs w:val="22"/>
          <w:lang w:val="en-GB"/>
        </w:rPr>
        <w:t xml:space="preserve"> </w:t>
      </w:r>
      <w:r w:rsidR="00E11229">
        <w:rPr>
          <w:sz w:val="22"/>
          <w:szCs w:val="22"/>
          <w:lang w:val="en-GB"/>
        </w:rPr>
        <w:t xml:space="preserve">Section 3 discusses </w:t>
      </w:r>
      <w:r w:rsidR="00B02266" w:rsidRPr="00336C11">
        <w:rPr>
          <w:sz w:val="22"/>
          <w:szCs w:val="22"/>
          <w:lang w:val="en-GB"/>
        </w:rPr>
        <w:t xml:space="preserve">shareholders </w:t>
      </w:r>
      <w:r w:rsidR="002809B2" w:rsidRPr="00336C11">
        <w:rPr>
          <w:sz w:val="22"/>
          <w:szCs w:val="22"/>
          <w:lang w:val="en-GB"/>
        </w:rPr>
        <w:t>deadlocks and buyout</w:t>
      </w:r>
      <w:r w:rsidR="00E11229">
        <w:rPr>
          <w:sz w:val="22"/>
          <w:szCs w:val="22"/>
          <w:lang w:val="en-GB"/>
        </w:rPr>
        <w:t>s</w:t>
      </w:r>
      <w:r w:rsidR="00A856AD" w:rsidRPr="00336C11">
        <w:rPr>
          <w:sz w:val="22"/>
          <w:szCs w:val="22"/>
          <w:lang w:val="en-GB"/>
        </w:rPr>
        <w:t xml:space="preserve">. Section </w:t>
      </w:r>
      <w:r w:rsidR="00E11229">
        <w:rPr>
          <w:sz w:val="22"/>
          <w:szCs w:val="22"/>
          <w:lang w:val="en-GB"/>
        </w:rPr>
        <w:t>4</w:t>
      </w:r>
      <w:r w:rsidR="00E11229" w:rsidRPr="00336C11">
        <w:rPr>
          <w:sz w:val="22"/>
          <w:szCs w:val="22"/>
          <w:lang w:val="en-GB"/>
        </w:rPr>
        <w:t xml:space="preserve"> </w:t>
      </w:r>
      <w:r w:rsidR="00E11229">
        <w:rPr>
          <w:sz w:val="22"/>
          <w:szCs w:val="22"/>
          <w:lang w:val="en-GB"/>
        </w:rPr>
        <w:t xml:space="preserve">considers extemporary negotiations qua technique for a buyout, analysing bargaining dynamics in both a symmetric and an asymmetric bargaining environment. Section 5 turns its attention on </w:t>
      </w:r>
      <w:r w:rsidR="00A856AD" w:rsidRPr="00336C11">
        <w:rPr>
          <w:sz w:val="22"/>
          <w:szCs w:val="22"/>
          <w:lang w:val="en-GB"/>
        </w:rPr>
        <w:t xml:space="preserve">Russian Roulette provisions </w:t>
      </w:r>
      <w:r w:rsidR="002809B2" w:rsidRPr="00336C11">
        <w:rPr>
          <w:sz w:val="22"/>
          <w:szCs w:val="22"/>
          <w:lang w:val="en-GB"/>
        </w:rPr>
        <w:t>and the ensuing buyout procedure</w:t>
      </w:r>
      <w:r w:rsidR="00E11229">
        <w:rPr>
          <w:sz w:val="22"/>
          <w:szCs w:val="22"/>
          <w:lang w:val="en-GB"/>
        </w:rPr>
        <w:t>, examining their functioning under conditions of perfect and imperfect symmetry</w:t>
      </w:r>
      <w:r w:rsidR="0098339E" w:rsidRPr="00336C11">
        <w:rPr>
          <w:sz w:val="22"/>
          <w:szCs w:val="22"/>
          <w:lang w:val="en-GB"/>
        </w:rPr>
        <w:t>.</w:t>
      </w:r>
      <w:r w:rsidR="002809B2" w:rsidRPr="00336C11">
        <w:rPr>
          <w:sz w:val="22"/>
          <w:szCs w:val="22"/>
          <w:lang w:val="en-GB"/>
        </w:rPr>
        <w:t xml:space="preserve"> </w:t>
      </w:r>
      <w:r w:rsidR="00766C71" w:rsidRPr="00336C11">
        <w:rPr>
          <w:sz w:val="22"/>
          <w:szCs w:val="22"/>
          <w:lang w:val="en-GB"/>
        </w:rPr>
        <w:t xml:space="preserve">Section </w:t>
      </w:r>
      <w:r w:rsidR="00E11229">
        <w:rPr>
          <w:sz w:val="22"/>
          <w:szCs w:val="22"/>
          <w:lang w:val="en-GB"/>
        </w:rPr>
        <w:t>6</w:t>
      </w:r>
      <w:r w:rsidR="00E11229" w:rsidRPr="00336C11">
        <w:rPr>
          <w:sz w:val="22"/>
          <w:szCs w:val="22"/>
          <w:lang w:val="en-GB"/>
        </w:rPr>
        <w:t xml:space="preserve"> </w:t>
      </w:r>
      <w:r w:rsidR="00A856AD" w:rsidRPr="00336C11">
        <w:rPr>
          <w:sz w:val="22"/>
          <w:szCs w:val="22"/>
          <w:lang w:val="en-GB"/>
        </w:rPr>
        <w:t xml:space="preserve">theorizes </w:t>
      </w:r>
      <w:r w:rsidR="00A56662">
        <w:rPr>
          <w:sz w:val="22"/>
          <w:szCs w:val="22"/>
          <w:lang w:val="en-GB"/>
        </w:rPr>
        <w:t xml:space="preserve">briefly </w:t>
      </w:r>
      <w:r w:rsidR="00C925A1">
        <w:rPr>
          <w:sz w:val="22"/>
          <w:szCs w:val="22"/>
          <w:lang w:val="en-GB"/>
        </w:rPr>
        <w:t xml:space="preserve">the role of regulation, </w:t>
      </w:r>
      <w:r w:rsidR="00CF585E" w:rsidRPr="00336C11">
        <w:rPr>
          <w:sz w:val="22"/>
          <w:szCs w:val="22"/>
          <w:lang w:val="en-GB"/>
        </w:rPr>
        <w:t>account</w:t>
      </w:r>
      <w:r w:rsidR="00C925A1">
        <w:rPr>
          <w:sz w:val="22"/>
          <w:szCs w:val="22"/>
          <w:lang w:val="en-GB"/>
        </w:rPr>
        <w:t>ing</w:t>
      </w:r>
      <w:r w:rsidR="00CF585E" w:rsidRPr="00336C11">
        <w:rPr>
          <w:sz w:val="22"/>
          <w:szCs w:val="22"/>
          <w:lang w:val="en-GB"/>
        </w:rPr>
        <w:t xml:space="preserve"> for </w:t>
      </w:r>
      <w:r w:rsidR="00BA5ADD" w:rsidRPr="00336C11">
        <w:rPr>
          <w:sz w:val="22"/>
          <w:szCs w:val="22"/>
          <w:lang w:val="en-GB"/>
        </w:rPr>
        <w:t>it</w:t>
      </w:r>
      <w:r w:rsidR="00A856AD" w:rsidRPr="00336C11">
        <w:rPr>
          <w:sz w:val="22"/>
          <w:szCs w:val="22"/>
          <w:lang w:val="en-GB"/>
        </w:rPr>
        <w:t xml:space="preserve">s rationale, </w:t>
      </w:r>
      <w:r w:rsidR="00C925A1">
        <w:rPr>
          <w:sz w:val="22"/>
          <w:szCs w:val="22"/>
          <w:lang w:val="en-GB"/>
        </w:rPr>
        <w:t xml:space="preserve">discussing </w:t>
      </w:r>
      <w:r w:rsidR="00A0741C" w:rsidRPr="00336C11">
        <w:rPr>
          <w:sz w:val="22"/>
          <w:szCs w:val="22"/>
          <w:lang w:val="en-GB"/>
        </w:rPr>
        <w:t xml:space="preserve">its </w:t>
      </w:r>
      <w:r w:rsidR="00A856AD" w:rsidRPr="00336C11">
        <w:rPr>
          <w:sz w:val="22"/>
          <w:szCs w:val="22"/>
          <w:lang w:val="en-GB"/>
        </w:rPr>
        <w:t>goals</w:t>
      </w:r>
      <w:r w:rsidR="00CF585E" w:rsidRPr="00336C11">
        <w:rPr>
          <w:sz w:val="22"/>
          <w:szCs w:val="22"/>
          <w:lang w:val="en-GB"/>
        </w:rPr>
        <w:t xml:space="preserve"> </w:t>
      </w:r>
      <w:r w:rsidR="00A856AD" w:rsidRPr="00336C11">
        <w:rPr>
          <w:sz w:val="22"/>
          <w:szCs w:val="22"/>
          <w:lang w:val="en-GB"/>
        </w:rPr>
        <w:t xml:space="preserve">and </w:t>
      </w:r>
      <w:r w:rsidR="00C925A1">
        <w:rPr>
          <w:sz w:val="22"/>
          <w:szCs w:val="22"/>
          <w:lang w:val="en-GB"/>
        </w:rPr>
        <w:t xml:space="preserve">hinting at </w:t>
      </w:r>
      <w:r w:rsidR="00A0741C" w:rsidRPr="00336C11">
        <w:rPr>
          <w:sz w:val="22"/>
          <w:szCs w:val="22"/>
          <w:lang w:val="en-GB"/>
        </w:rPr>
        <w:t xml:space="preserve">its </w:t>
      </w:r>
      <w:r w:rsidR="0098339E" w:rsidRPr="00336C11">
        <w:rPr>
          <w:sz w:val="22"/>
          <w:szCs w:val="22"/>
          <w:lang w:val="en-GB"/>
        </w:rPr>
        <w:t xml:space="preserve">possible </w:t>
      </w:r>
      <w:r w:rsidR="00A856AD" w:rsidRPr="00336C11">
        <w:rPr>
          <w:sz w:val="22"/>
          <w:szCs w:val="22"/>
          <w:lang w:val="en-GB"/>
        </w:rPr>
        <w:t xml:space="preserve">design. Section </w:t>
      </w:r>
      <w:r w:rsidR="00E11229">
        <w:rPr>
          <w:sz w:val="22"/>
          <w:szCs w:val="22"/>
          <w:lang w:val="en-GB"/>
        </w:rPr>
        <w:t>7</w:t>
      </w:r>
      <w:r w:rsidR="00E11229" w:rsidRPr="00336C11">
        <w:rPr>
          <w:sz w:val="22"/>
          <w:szCs w:val="22"/>
          <w:lang w:val="en-GB"/>
        </w:rPr>
        <w:t xml:space="preserve"> </w:t>
      </w:r>
      <w:r w:rsidR="00A856AD" w:rsidRPr="00336C11">
        <w:rPr>
          <w:sz w:val="22"/>
          <w:szCs w:val="22"/>
          <w:lang w:val="en-GB"/>
        </w:rPr>
        <w:t>concludes</w:t>
      </w:r>
      <w:r w:rsidR="00A0741C" w:rsidRPr="00336C11">
        <w:rPr>
          <w:sz w:val="22"/>
          <w:szCs w:val="22"/>
          <w:lang w:val="en-GB"/>
        </w:rPr>
        <w:t xml:space="preserve"> by summarizing </w:t>
      </w:r>
      <w:r w:rsidR="00D4648A" w:rsidRPr="00336C11">
        <w:rPr>
          <w:sz w:val="22"/>
          <w:szCs w:val="22"/>
          <w:lang w:val="en-GB"/>
        </w:rPr>
        <w:t>the discussion articulated herein</w:t>
      </w:r>
      <w:r w:rsidR="00A56662">
        <w:rPr>
          <w:sz w:val="22"/>
          <w:szCs w:val="22"/>
          <w:lang w:val="en-GB"/>
        </w:rPr>
        <w:t xml:space="preserve"> and sketching the avenues for complementary research</w:t>
      </w:r>
      <w:r w:rsidR="00A856AD" w:rsidRPr="00336C11">
        <w:rPr>
          <w:sz w:val="22"/>
          <w:szCs w:val="22"/>
          <w:lang w:val="en-GB"/>
        </w:rPr>
        <w:t>.</w:t>
      </w:r>
    </w:p>
    <w:p w14:paraId="1C99AB26" w14:textId="53F1BBE7" w:rsidR="00D6452C" w:rsidRPr="00336C11" w:rsidRDefault="006A279A" w:rsidP="00C12B86">
      <w:pPr>
        <w:pStyle w:val="Heading1"/>
        <w:numPr>
          <w:ilvl w:val="0"/>
          <w:numId w:val="28"/>
        </w:numPr>
        <w:spacing w:before="1200" w:after="240"/>
        <w:ind w:left="567" w:hanging="567"/>
        <w:rPr>
          <w:i/>
          <w:iCs/>
          <w:smallCaps w:val="0"/>
          <w:sz w:val="22"/>
          <w:szCs w:val="22"/>
          <w:lang w:val="en-GB"/>
        </w:rPr>
      </w:pPr>
      <w:bookmarkStart w:id="7" w:name="_Toc66125101"/>
      <w:bookmarkStart w:id="8" w:name="_Toc67392667"/>
      <w:bookmarkEnd w:id="5"/>
      <w:bookmarkEnd w:id="6"/>
      <w:r>
        <w:rPr>
          <w:i/>
          <w:iCs/>
          <w:smallCaps w:val="0"/>
          <w:sz w:val="22"/>
          <w:szCs w:val="22"/>
          <w:lang w:val="en-GB"/>
        </w:rPr>
        <w:t>Setting the Scene</w:t>
      </w:r>
      <w:r w:rsidR="003441FD">
        <w:rPr>
          <w:i/>
          <w:iCs/>
          <w:smallCaps w:val="0"/>
          <w:sz w:val="22"/>
          <w:szCs w:val="22"/>
          <w:lang w:val="en-GB"/>
        </w:rPr>
        <w:t>: Close Firms</w:t>
      </w:r>
      <w:bookmarkEnd w:id="7"/>
      <w:bookmarkEnd w:id="8"/>
    </w:p>
    <w:p w14:paraId="0B16D487" w14:textId="4DB4A538" w:rsidR="005B5B3A" w:rsidRPr="00336C11" w:rsidRDefault="00A80583" w:rsidP="00C12B86">
      <w:pPr>
        <w:pStyle w:val="Heading2"/>
        <w:numPr>
          <w:ilvl w:val="1"/>
          <w:numId w:val="28"/>
        </w:numPr>
        <w:spacing w:before="480"/>
        <w:ind w:left="567" w:hanging="567"/>
        <w:rPr>
          <w:iCs/>
          <w:sz w:val="22"/>
          <w:szCs w:val="22"/>
          <w:lang w:val="en-GB"/>
        </w:rPr>
      </w:pPr>
      <w:bookmarkStart w:id="9" w:name="_Toc508979604"/>
      <w:bookmarkStart w:id="10" w:name="_Toc518336660"/>
      <w:bookmarkStart w:id="11" w:name="_Toc521780070"/>
      <w:bookmarkStart w:id="12" w:name="_Toc58274686"/>
      <w:bookmarkStart w:id="13" w:name="_Toc64465219"/>
      <w:bookmarkStart w:id="14" w:name="_Toc66125103"/>
      <w:bookmarkStart w:id="15" w:name="_Toc508979603"/>
      <w:bookmarkStart w:id="16" w:name="_Toc518336659"/>
      <w:bookmarkStart w:id="17" w:name="_Toc521780069"/>
      <w:bookmarkStart w:id="18" w:name="_Toc58274685"/>
      <w:bookmarkStart w:id="19" w:name="_Toc64465218"/>
      <w:bookmarkStart w:id="20" w:name="_Toc66125102"/>
      <w:bookmarkStart w:id="21" w:name="_Toc67392668"/>
      <w:r>
        <w:rPr>
          <w:iCs/>
          <w:sz w:val="22"/>
          <w:szCs w:val="22"/>
          <w:lang w:val="en-GB"/>
        </w:rPr>
        <w:t xml:space="preserve">Idiosyncratic Problems and </w:t>
      </w:r>
      <w:r w:rsidRPr="00336C11">
        <w:rPr>
          <w:iCs/>
          <w:sz w:val="22"/>
          <w:szCs w:val="22"/>
          <w:lang w:val="en-GB"/>
        </w:rPr>
        <w:t>Contr</w:t>
      </w:r>
      <w:r>
        <w:rPr>
          <w:iCs/>
          <w:sz w:val="22"/>
          <w:szCs w:val="22"/>
          <w:lang w:val="en-GB"/>
        </w:rPr>
        <w:t xml:space="preserve">actual </w:t>
      </w:r>
      <w:bookmarkEnd w:id="9"/>
      <w:bookmarkEnd w:id="10"/>
      <w:bookmarkEnd w:id="11"/>
      <w:bookmarkEnd w:id="12"/>
      <w:bookmarkEnd w:id="13"/>
      <w:r>
        <w:rPr>
          <w:iCs/>
          <w:sz w:val="22"/>
          <w:szCs w:val="22"/>
          <w:lang w:val="en-GB"/>
        </w:rPr>
        <w:t>Responses</w:t>
      </w:r>
      <w:bookmarkEnd w:id="14"/>
      <w:r w:rsidRPr="00336C11" w:rsidDel="00A80583">
        <w:rPr>
          <w:iCs/>
          <w:sz w:val="22"/>
          <w:szCs w:val="22"/>
          <w:lang w:val="en-GB"/>
        </w:rPr>
        <w:t xml:space="preserve"> </w:t>
      </w:r>
      <w:bookmarkEnd w:id="15"/>
      <w:bookmarkEnd w:id="16"/>
      <w:bookmarkEnd w:id="17"/>
      <w:bookmarkEnd w:id="18"/>
      <w:bookmarkEnd w:id="19"/>
      <w:bookmarkEnd w:id="20"/>
      <w:bookmarkEnd w:id="21"/>
    </w:p>
    <w:p w14:paraId="1763E1F3" w14:textId="4EC10CD1" w:rsidR="00950738" w:rsidRPr="00336C11" w:rsidRDefault="002A2261" w:rsidP="00950738">
      <w:pPr>
        <w:ind w:firstLine="567"/>
        <w:jc w:val="both"/>
        <w:rPr>
          <w:sz w:val="22"/>
          <w:szCs w:val="22"/>
          <w:lang w:val="en-GB"/>
        </w:rPr>
      </w:pPr>
      <w:r>
        <w:rPr>
          <w:sz w:val="22"/>
          <w:szCs w:val="22"/>
          <w:lang w:val="en-GB"/>
        </w:rPr>
        <w:t>T</w:t>
      </w:r>
      <w:r w:rsidR="00950738" w:rsidRPr="00336C11">
        <w:rPr>
          <w:sz w:val="22"/>
          <w:szCs w:val="22"/>
          <w:lang w:val="en-GB"/>
        </w:rPr>
        <w:t>he public discourse, the policy debate and the academic engagement tend to focus predominantly on the problems plaguing large public firms,</w:t>
      </w:r>
      <w:r w:rsidR="00950738" w:rsidRPr="00336C11">
        <w:rPr>
          <w:rStyle w:val="FootnoteReference"/>
          <w:rFonts w:ascii="Times New Roman" w:hAnsi="Times New Roman"/>
          <w:sz w:val="22"/>
          <w:szCs w:val="22"/>
          <w:lang w:val="en-GB"/>
        </w:rPr>
        <w:footnoteReference w:id="8"/>
      </w:r>
      <w:r w:rsidR="00950738" w:rsidRPr="00336C11">
        <w:rPr>
          <w:sz w:val="22"/>
          <w:szCs w:val="22"/>
          <w:lang w:val="en-GB"/>
        </w:rPr>
        <w:t xml:space="preserve"> close firms are economically just as important.</w:t>
      </w:r>
      <w:r w:rsidR="00950738" w:rsidRPr="00336C11">
        <w:rPr>
          <w:rStyle w:val="FootnoteReference"/>
          <w:rFonts w:ascii="Times New Roman" w:hAnsi="Times New Roman"/>
          <w:sz w:val="22"/>
          <w:szCs w:val="22"/>
          <w:lang w:val="en-GB"/>
        </w:rPr>
        <w:footnoteReference w:id="9"/>
      </w:r>
      <w:r w:rsidR="00950738" w:rsidRPr="00336C11">
        <w:rPr>
          <w:sz w:val="22"/>
          <w:szCs w:val="22"/>
          <w:lang w:val="en-GB"/>
        </w:rPr>
        <w:t xml:space="preserve"> This somewhat as generic as </w:t>
      </w:r>
      <w:r w:rsidR="00B04D42">
        <w:rPr>
          <w:sz w:val="22"/>
          <w:szCs w:val="22"/>
          <w:lang w:val="en-GB"/>
        </w:rPr>
        <w:t xml:space="preserve">widely-used </w:t>
      </w:r>
      <w:r w:rsidR="00950738" w:rsidRPr="00336C11">
        <w:rPr>
          <w:i/>
          <w:iCs/>
          <w:sz w:val="22"/>
          <w:szCs w:val="22"/>
          <w:lang w:val="en-GB"/>
        </w:rPr>
        <w:t>etiquette</w:t>
      </w:r>
      <w:r w:rsidR="00950738" w:rsidRPr="00336C11">
        <w:rPr>
          <w:sz w:val="22"/>
          <w:szCs w:val="22"/>
          <w:lang w:val="en-GB"/>
        </w:rPr>
        <w:t xml:space="preserve"> refers </w:t>
      </w:r>
      <w:r>
        <w:rPr>
          <w:sz w:val="22"/>
          <w:szCs w:val="22"/>
          <w:lang w:val="en-GB"/>
        </w:rPr>
        <w:t xml:space="preserve">to </w:t>
      </w:r>
      <w:r w:rsidR="00950738" w:rsidRPr="00336C11">
        <w:rPr>
          <w:sz w:val="22"/>
          <w:szCs w:val="22"/>
          <w:lang w:val="en-GB"/>
        </w:rPr>
        <w:t>a rather broad category of firms, ranging from nascent but aspiringly disruptive high-tech start-ups, to small traditional “mom &amp; pop” businesses and to end with large-to-very-large family and non-family firms.</w:t>
      </w:r>
      <w:r w:rsidR="00950738" w:rsidRPr="00336C11">
        <w:rPr>
          <w:rStyle w:val="FootnoteReference"/>
          <w:rFonts w:ascii="Times New Roman" w:hAnsi="Times New Roman"/>
          <w:sz w:val="22"/>
          <w:szCs w:val="22"/>
          <w:lang w:val="en-GB"/>
        </w:rPr>
        <w:footnoteReference w:id="10"/>
      </w:r>
      <w:r w:rsidR="00950738" w:rsidRPr="00336C11">
        <w:rPr>
          <w:sz w:val="22"/>
          <w:szCs w:val="22"/>
          <w:lang w:val="en-GB"/>
        </w:rPr>
        <w:t xml:space="preserve"> </w:t>
      </w:r>
    </w:p>
    <w:p w14:paraId="4189C4C7" w14:textId="10EFA813" w:rsidR="002A2261" w:rsidRPr="002A2261" w:rsidRDefault="00950738" w:rsidP="002A2261">
      <w:pPr>
        <w:ind w:firstLine="567"/>
        <w:jc w:val="both"/>
        <w:rPr>
          <w:sz w:val="22"/>
          <w:szCs w:val="22"/>
          <w:lang w:val="en-GB"/>
        </w:rPr>
      </w:pPr>
      <w:r w:rsidRPr="002A2261">
        <w:rPr>
          <w:sz w:val="22"/>
          <w:szCs w:val="22"/>
          <w:lang w:val="en-GB"/>
        </w:rPr>
        <w:t>However different in their organizational dimensions, commercial ambitions and operational styles, close firms all share few characteristics that define the category</w:t>
      </w:r>
      <w:r w:rsidR="002A2261" w:rsidRPr="002A2261">
        <w:rPr>
          <w:sz w:val="22"/>
          <w:szCs w:val="22"/>
          <w:lang w:val="en-GB"/>
        </w:rPr>
        <w:t xml:space="preserve">. </w:t>
      </w:r>
      <w:r w:rsidR="002A2261" w:rsidRPr="00497127">
        <w:rPr>
          <w:rFonts w:eastAsiaTheme="minorHAnsi"/>
          <w:color w:val="000000"/>
          <w:sz w:val="22"/>
          <w:szCs w:val="22"/>
          <w:lang w:val="it-IT" w:eastAsia="en-US"/>
        </w:rPr>
        <w:t>Close corporations have properly been compared with a ‘spiral staircase, hard to describe but recognizable when you see one’.</w:t>
      </w:r>
      <w:r w:rsidR="002A2261" w:rsidRPr="00497127">
        <w:rPr>
          <w:rFonts w:eastAsiaTheme="minorHAnsi"/>
          <w:color w:val="0000FF"/>
          <w:sz w:val="22"/>
          <w:szCs w:val="22"/>
          <w:lang w:val="it-IT" w:eastAsia="en-US"/>
        </w:rPr>
        <w:t xml:space="preserve"> </w:t>
      </w:r>
      <w:r w:rsidR="002A2261" w:rsidRPr="00497127">
        <w:rPr>
          <w:rFonts w:eastAsiaTheme="minorHAnsi"/>
          <w:color w:val="000000"/>
          <w:sz w:val="22"/>
          <w:szCs w:val="22"/>
          <w:lang w:val="it-IT" w:eastAsia="en-US"/>
        </w:rPr>
        <w:t>From a functional perspective, the following distinctive features of close corporations have been highlighted in the legal literature</w:t>
      </w:r>
      <w:r w:rsidR="000A1263">
        <w:rPr>
          <w:rFonts w:eastAsiaTheme="minorHAnsi"/>
          <w:color w:val="000000"/>
          <w:sz w:val="22"/>
          <w:szCs w:val="22"/>
          <w:lang w:val="it-IT" w:eastAsia="en-US"/>
        </w:rPr>
        <w:t>, among which</w:t>
      </w:r>
      <w:r w:rsidR="002A2261" w:rsidRPr="00497127">
        <w:rPr>
          <w:rFonts w:eastAsiaTheme="minorHAnsi"/>
          <w:color w:val="000000"/>
          <w:sz w:val="22"/>
          <w:szCs w:val="22"/>
          <w:lang w:val="it-IT" w:eastAsia="en-US"/>
        </w:rPr>
        <w:t xml:space="preserve"> (a) a small number of shareholders</w:t>
      </w:r>
      <w:r w:rsidR="000A1263">
        <w:rPr>
          <w:rFonts w:eastAsiaTheme="minorHAnsi"/>
          <w:color w:val="000000"/>
          <w:sz w:val="22"/>
          <w:szCs w:val="22"/>
          <w:lang w:val="it-IT" w:eastAsia="en-US"/>
        </w:rPr>
        <w:t xml:space="preserve"> and</w:t>
      </w:r>
      <w:r w:rsidR="002A2261" w:rsidRPr="00497127">
        <w:rPr>
          <w:rFonts w:eastAsiaTheme="minorHAnsi"/>
          <w:color w:val="000000"/>
          <w:sz w:val="22"/>
          <w:szCs w:val="22"/>
          <w:lang w:val="it-IT" w:eastAsia="en-US"/>
        </w:rPr>
        <w:t xml:space="preserve"> (b) </w:t>
      </w:r>
      <w:r w:rsidR="000A1263">
        <w:rPr>
          <w:rFonts w:eastAsiaTheme="minorHAnsi"/>
          <w:color w:val="000000"/>
          <w:sz w:val="22"/>
          <w:szCs w:val="22"/>
          <w:lang w:val="it-IT" w:eastAsia="en-US"/>
        </w:rPr>
        <w:t>their s</w:t>
      </w:r>
      <w:r w:rsidR="002A2261" w:rsidRPr="00497127">
        <w:rPr>
          <w:rFonts w:eastAsiaTheme="minorHAnsi"/>
          <w:color w:val="000000"/>
          <w:sz w:val="22"/>
          <w:szCs w:val="22"/>
          <w:lang w:val="it-IT" w:eastAsia="en-US"/>
        </w:rPr>
        <w:t xml:space="preserve">trong participation in the </w:t>
      </w:r>
      <w:r w:rsidR="000A1263">
        <w:rPr>
          <w:rFonts w:eastAsiaTheme="minorHAnsi"/>
          <w:color w:val="000000"/>
          <w:sz w:val="22"/>
          <w:szCs w:val="22"/>
          <w:lang w:val="it-IT" w:eastAsia="en-US"/>
        </w:rPr>
        <w:t xml:space="preserve">firm </w:t>
      </w:r>
      <w:r w:rsidR="002A2261" w:rsidRPr="00497127">
        <w:rPr>
          <w:rFonts w:eastAsiaTheme="minorHAnsi"/>
          <w:color w:val="000000"/>
          <w:sz w:val="22"/>
          <w:szCs w:val="22"/>
          <w:lang w:val="it-IT" w:eastAsia="en-US"/>
        </w:rPr>
        <w:t>management</w:t>
      </w:r>
      <w:r w:rsidR="000A1263">
        <w:rPr>
          <w:rFonts w:eastAsiaTheme="minorHAnsi"/>
          <w:color w:val="000000"/>
          <w:sz w:val="22"/>
          <w:szCs w:val="22"/>
          <w:lang w:val="it-IT" w:eastAsia="en-US"/>
        </w:rPr>
        <w:t>,</w:t>
      </w:r>
      <w:r w:rsidR="002A2261" w:rsidRPr="002A2261">
        <w:rPr>
          <w:rStyle w:val="FootnoteReference"/>
          <w:rFonts w:ascii="Times New Roman" w:hAnsi="Times New Roman"/>
          <w:sz w:val="22"/>
          <w:szCs w:val="22"/>
          <w:lang w:val="en-GB"/>
        </w:rPr>
        <w:footnoteReference w:id="11"/>
      </w:r>
      <w:r w:rsidR="002A2261" w:rsidRPr="00497127">
        <w:rPr>
          <w:rFonts w:eastAsiaTheme="minorHAnsi"/>
          <w:color w:val="000000"/>
          <w:sz w:val="22"/>
          <w:szCs w:val="22"/>
          <w:lang w:val="it-IT" w:eastAsia="en-US"/>
        </w:rPr>
        <w:t xml:space="preserve"> </w:t>
      </w:r>
      <w:r w:rsidR="000A1263">
        <w:rPr>
          <w:rFonts w:eastAsiaTheme="minorHAnsi"/>
          <w:color w:val="000000"/>
          <w:sz w:val="22"/>
          <w:szCs w:val="22"/>
          <w:lang w:val="it-IT" w:eastAsia="en-US"/>
        </w:rPr>
        <w:t>particulalry</w:t>
      </w:r>
      <w:r w:rsidR="000A1263" w:rsidRPr="002A2261" w:rsidDel="002A2261">
        <w:rPr>
          <w:sz w:val="22"/>
          <w:szCs w:val="22"/>
          <w:lang w:val="en-GB"/>
        </w:rPr>
        <w:t xml:space="preserve"> </w:t>
      </w:r>
      <w:r w:rsidR="000A1263">
        <w:rPr>
          <w:sz w:val="22"/>
          <w:szCs w:val="22"/>
          <w:lang w:val="en-GB"/>
        </w:rPr>
        <w:t xml:space="preserve">because a </w:t>
      </w:r>
      <w:r w:rsidRPr="002A2261">
        <w:rPr>
          <w:sz w:val="22"/>
          <w:szCs w:val="22"/>
          <w:lang w:val="en-GB"/>
        </w:rPr>
        <w:t xml:space="preserve">personal permeation between shareholders and management that is </w:t>
      </w:r>
      <w:r w:rsidR="002A2261" w:rsidRPr="002A2261">
        <w:rPr>
          <w:sz w:val="22"/>
          <w:szCs w:val="22"/>
          <w:lang w:val="en-GB"/>
        </w:rPr>
        <w:t xml:space="preserve">also </w:t>
      </w:r>
      <w:r w:rsidRPr="002A2261">
        <w:rPr>
          <w:sz w:val="22"/>
          <w:szCs w:val="22"/>
          <w:lang w:val="en-GB"/>
        </w:rPr>
        <w:t xml:space="preserve">often observable. </w:t>
      </w:r>
    </w:p>
    <w:p w14:paraId="78A94F65" w14:textId="3C0DF41E" w:rsidR="000A1263" w:rsidRDefault="002A2261">
      <w:pPr>
        <w:ind w:firstLine="567"/>
        <w:jc w:val="both"/>
        <w:rPr>
          <w:sz w:val="22"/>
          <w:szCs w:val="22"/>
          <w:lang w:val="en-US"/>
        </w:rPr>
      </w:pPr>
      <w:r>
        <w:rPr>
          <w:sz w:val="22"/>
          <w:szCs w:val="22"/>
          <w:lang w:val="en-GB"/>
        </w:rPr>
        <w:t>C</w:t>
      </w:r>
      <w:r w:rsidR="00950738">
        <w:rPr>
          <w:sz w:val="22"/>
          <w:szCs w:val="22"/>
          <w:lang w:val="en-GB"/>
        </w:rPr>
        <w:t xml:space="preserve">lose firms </w:t>
      </w:r>
      <w:r w:rsidR="00950738" w:rsidRPr="00336C11">
        <w:rPr>
          <w:sz w:val="22"/>
          <w:szCs w:val="22"/>
          <w:lang w:val="en-GB"/>
        </w:rPr>
        <w:t>all share a basic explanation for their existence: an explanation that does go back to the nature of the investments on which their success generally rests.</w:t>
      </w:r>
      <w:r>
        <w:rPr>
          <w:sz w:val="22"/>
          <w:szCs w:val="22"/>
          <w:lang w:val="en-GB"/>
        </w:rPr>
        <w:t xml:space="preserve"> </w:t>
      </w:r>
      <w:r w:rsidR="007A11FF" w:rsidRPr="00336C11">
        <w:rPr>
          <w:sz w:val="22"/>
          <w:szCs w:val="22"/>
          <w:lang w:val="en-GB"/>
        </w:rPr>
        <w:t xml:space="preserve">Starting and developing a </w:t>
      </w:r>
      <w:r w:rsidR="00E97613" w:rsidRPr="00336C11">
        <w:rPr>
          <w:sz w:val="22"/>
          <w:szCs w:val="22"/>
          <w:lang w:val="en-GB"/>
        </w:rPr>
        <w:t xml:space="preserve">business </w:t>
      </w:r>
      <w:r w:rsidR="007A11FF" w:rsidRPr="00336C11">
        <w:rPr>
          <w:sz w:val="22"/>
          <w:szCs w:val="22"/>
          <w:lang w:val="en-GB"/>
        </w:rPr>
        <w:t xml:space="preserve">project </w:t>
      </w:r>
      <w:r w:rsidR="00E97613" w:rsidRPr="00336C11">
        <w:rPr>
          <w:sz w:val="22"/>
          <w:szCs w:val="22"/>
          <w:lang w:val="en-GB"/>
        </w:rPr>
        <w:t xml:space="preserve">often require business partners of </w:t>
      </w:r>
      <w:r w:rsidR="00ED274A" w:rsidRPr="00336C11">
        <w:rPr>
          <w:sz w:val="22"/>
          <w:szCs w:val="22"/>
          <w:lang w:val="en-GB"/>
        </w:rPr>
        <w:t>mak</w:t>
      </w:r>
      <w:r w:rsidR="00E97613" w:rsidRPr="00336C11">
        <w:rPr>
          <w:sz w:val="22"/>
          <w:szCs w:val="22"/>
          <w:lang w:val="en-GB"/>
        </w:rPr>
        <w:t>ing</w:t>
      </w:r>
      <w:r w:rsidR="00ED274A" w:rsidRPr="00336C11">
        <w:rPr>
          <w:sz w:val="22"/>
          <w:szCs w:val="22"/>
          <w:lang w:val="en-GB"/>
        </w:rPr>
        <w:t xml:space="preserve"> </w:t>
      </w:r>
      <w:r w:rsidR="00B53FA4" w:rsidRPr="00336C11">
        <w:rPr>
          <w:sz w:val="22"/>
          <w:szCs w:val="22"/>
          <w:lang w:val="en-GB"/>
        </w:rPr>
        <w:t xml:space="preserve">specific </w:t>
      </w:r>
      <w:r w:rsidR="00B53FA4" w:rsidRPr="00336C11">
        <w:rPr>
          <w:sz w:val="22"/>
          <w:szCs w:val="22"/>
          <w:lang w:val="en-GB"/>
        </w:rPr>
        <w:lastRenderedPageBreak/>
        <w:t>investments – that is, investments whose value is mainly or even exclusively a function of the very relationship within which they materialize.</w:t>
      </w:r>
      <w:r w:rsidR="00182CF3" w:rsidRPr="00336C11">
        <w:rPr>
          <w:rStyle w:val="FootnoteReference"/>
          <w:rFonts w:ascii="Times New Roman" w:hAnsi="Times New Roman"/>
          <w:sz w:val="22"/>
          <w:szCs w:val="22"/>
          <w:lang w:val="en-GB"/>
        </w:rPr>
        <w:footnoteReference w:id="12"/>
      </w:r>
      <w:r w:rsidR="00B53FA4" w:rsidRPr="00336C11">
        <w:rPr>
          <w:sz w:val="22"/>
          <w:szCs w:val="22"/>
          <w:lang w:val="en-GB"/>
        </w:rPr>
        <w:t xml:space="preserve"> </w:t>
      </w:r>
      <w:r w:rsidR="000A1263">
        <w:rPr>
          <w:sz w:val="22"/>
          <w:szCs w:val="22"/>
          <w:lang w:val="en-GB"/>
        </w:rPr>
        <w:t>D</w:t>
      </w:r>
      <w:r w:rsidR="00B061C8" w:rsidRPr="00336C11">
        <w:rPr>
          <w:sz w:val="22"/>
          <w:szCs w:val="22"/>
          <w:lang w:val="en-GB"/>
        </w:rPr>
        <w:t>ue to contracts’ inherently incompleteness,</w:t>
      </w:r>
      <w:r w:rsidR="00B061C8" w:rsidRPr="00336C11">
        <w:rPr>
          <w:rStyle w:val="FootnoteReference"/>
          <w:rFonts w:ascii="Times New Roman" w:hAnsi="Times New Roman"/>
          <w:sz w:val="22"/>
          <w:szCs w:val="22"/>
          <w:lang w:val="en-GB"/>
        </w:rPr>
        <w:footnoteReference w:id="13"/>
      </w:r>
      <w:r w:rsidR="00B061C8" w:rsidRPr="00336C11">
        <w:rPr>
          <w:sz w:val="22"/>
          <w:szCs w:val="22"/>
          <w:lang w:val="en-GB"/>
        </w:rPr>
        <w:t xml:space="preserve"> </w:t>
      </w:r>
      <w:r w:rsidR="00D26939" w:rsidRPr="00336C11">
        <w:rPr>
          <w:sz w:val="22"/>
          <w:szCs w:val="22"/>
          <w:lang w:val="en-GB"/>
        </w:rPr>
        <w:t xml:space="preserve">along with investment </w:t>
      </w:r>
      <w:r w:rsidR="00B53FA4" w:rsidRPr="00336C11">
        <w:rPr>
          <w:sz w:val="22"/>
          <w:szCs w:val="22"/>
          <w:lang w:val="en-GB"/>
        </w:rPr>
        <w:t>specific</w:t>
      </w:r>
      <w:r w:rsidR="00E97613" w:rsidRPr="00336C11">
        <w:rPr>
          <w:sz w:val="22"/>
          <w:szCs w:val="22"/>
          <w:lang w:val="en-GB"/>
        </w:rPr>
        <w:t>ity</w:t>
      </w:r>
      <w:r w:rsidR="00D26939" w:rsidRPr="00336C11">
        <w:rPr>
          <w:sz w:val="22"/>
          <w:szCs w:val="22"/>
          <w:lang w:val="en-GB"/>
        </w:rPr>
        <w:t xml:space="preserve"> comes</w:t>
      </w:r>
      <w:r w:rsidR="00F1699E" w:rsidRPr="00336C11">
        <w:rPr>
          <w:sz w:val="22"/>
          <w:szCs w:val="22"/>
          <w:lang w:val="en-GB"/>
        </w:rPr>
        <w:t xml:space="preserve"> </w:t>
      </w:r>
      <w:r w:rsidR="00D26939" w:rsidRPr="00336C11">
        <w:rPr>
          <w:sz w:val="22"/>
          <w:szCs w:val="22"/>
          <w:lang w:val="en-GB"/>
        </w:rPr>
        <w:t xml:space="preserve">the potential </w:t>
      </w:r>
      <w:r w:rsidR="000A1263" w:rsidRPr="00336C11">
        <w:rPr>
          <w:sz w:val="22"/>
          <w:szCs w:val="22"/>
          <w:lang w:val="en-GB"/>
        </w:rPr>
        <w:t xml:space="preserve">hold-up </w:t>
      </w:r>
      <w:r w:rsidR="00D26939" w:rsidRPr="00336C11">
        <w:rPr>
          <w:sz w:val="22"/>
          <w:szCs w:val="22"/>
          <w:lang w:val="en-GB"/>
        </w:rPr>
        <w:t>threat</w:t>
      </w:r>
      <w:r w:rsidR="000A1263">
        <w:rPr>
          <w:sz w:val="22"/>
          <w:szCs w:val="22"/>
          <w:lang w:val="en-GB"/>
        </w:rPr>
        <w:t>s</w:t>
      </w:r>
      <w:r w:rsidR="00D26939" w:rsidRPr="00336C11">
        <w:rPr>
          <w:sz w:val="22"/>
          <w:szCs w:val="22"/>
          <w:lang w:val="en-GB"/>
        </w:rPr>
        <w:t>:</w:t>
      </w:r>
      <w:r w:rsidR="00306364" w:rsidRPr="00336C11">
        <w:rPr>
          <w:sz w:val="22"/>
          <w:szCs w:val="22"/>
          <w:lang w:val="en-GB"/>
        </w:rPr>
        <w:t xml:space="preserve"> </w:t>
      </w:r>
      <w:r w:rsidR="00D26939" w:rsidRPr="00336C11">
        <w:rPr>
          <w:sz w:val="22"/>
          <w:szCs w:val="22"/>
          <w:lang w:val="en-US"/>
        </w:rPr>
        <w:t xml:space="preserve">one party may threaten to abandon the relationship to renegotiate more favorable terms in exchange for sparing his counterparty the “sunk costs” </w:t>
      </w:r>
      <w:r w:rsidR="00360C74">
        <w:rPr>
          <w:sz w:val="22"/>
          <w:szCs w:val="22"/>
          <w:lang w:val="en-US"/>
        </w:rPr>
        <w:t xml:space="preserve">stemming out of an </w:t>
      </w:r>
      <w:r w:rsidR="00F4318D" w:rsidRPr="00336C11">
        <w:rPr>
          <w:sz w:val="22"/>
          <w:szCs w:val="22"/>
          <w:lang w:val="en-US"/>
        </w:rPr>
        <w:t>abrupt</w:t>
      </w:r>
      <w:r w:rsidR="00360C74">
        <w:rPr>
          <w:sz w:val="22"/>
          <w:szCs w:val="22"/>
          <w:lang w:val="en-US"/>
        </w:rPr>
        <w:t xml:space="preserve"> interruption of cooperation.</w:t>
      </w:r>
      <w:r w:rsidR="00100A78" w:rsidRPr="00336C11">
        <w:rPr>
          <w:rStyle w:val="FootnoteReference"/>
          <w:rFonts w:ascii="Times New Roman" w:hAnsi="Times New Roman"/>
          <w:sz w:val="22"/>
          <w:szCs w:val="22"/>
          <w:lang w:val="en-GB"/>
        </w:rPr>
        <w:footnoteReference w:id="14"/>
      </w:r>
      <w:r w:rsidR="00360C74">
        <w:rPr>
          <w:sz w:val="22"/>
          <w:szCs w:val="22"/>
          <w:lang w:val="en-US"/>
        </w:rPr>
        <w:t xml:space="preserve"> </w:t>
      </w:r>
    </w:p>
    <w:p w14:paraId="0CF107B4" w14:textId="7E5AE5E1" w:rsidR="000A1263" w:rsidRDefault="00D26939" w:rsidP="00497127">
      <w:pPr>
        <w:ind w:firstLine="567"/>
        <w:jc w:val="both"/>
        <w:rPr>
          <w:sz w:val="22"/>
          <w:szCs w:val="22"/>
          <w:lang w:val="en-GB"/>
        </w:rPr>
      </w:pPr>
      <w:r w:rsidRPr="00336C11">
        <w:rPr>
          <w:sz w:val="22"/>
          <w:szCs w:val="22"/>
          <w:lang w:val="en-GB"/>
        </w:rPr>
        <w:t xml:space="preserve">To prevent such outcome </w:t>
      </w:r>
      <w:r w:rsidR="00306364" w:rsidRPr="00336C11">
        <w:rPr>
          <w:sz w:val="22"/>
          <w:szCs w:val="22"/>
          <w:lang w:val="en-GB"/>
        </w:rPr>
        <w:t xml:space="preserve">prospective business partners </w:t>
      </w:r>
      <w:r w:rsidRPr="00336C11">
        <w:rPr>
          <w:sz w:val="22"/>
          <w:szCs w:val="22"/>
          <w:lang w:val="en-GB"/>
        </w:rPr>
        <w:t xml:space="preserve">then </w:t>
      </w:r>
      <w:r w:rsidR="00195604" w:rsidRPr="00336C11">
        <w:rPr>
          <w:sz w:val="22"/>
          <w:szCs w:val="22"/>
          <w:lang w:val="en-GB"/>
        </w:rPr>
        <w:t xml:space="preserve">generally choose </w:t>
      </w:r>
      <w:r w:rsidR="00ED274A" w:rsidRPr="00336C11">
        <w:rPr>
          <w:sz w:val="22"/>
          <w:szCs w:val="22"/>
          <w:lang w:val="en-GB"/>
        </w:rPr>
        <w:t xml:space="preserve">to </w:t>
      </w:r>
      <w:r w:rsidR="00306364" w:rsidRPr="00336C11">
        <w:rPr>
          <w:sz w:val="22"/>
          <w:szCs w:val="22"/>
          <w:lang w:val="en-GB"/>
        </w:rPr>
        <w:t xml:space="preserve">encapsulate their business relationship </w:t>
      </w:r>
      <w:r w:rsidR="00B9781E" w:rsidRPr="00336C11">
        <w:rPr>
          <w:sz w:val="22"/>
          <w:szCs w:val="22"/>
          <w:lang w:val="en-GB"/>
        </w:rPr>
        <w:t xml:space="preserve">in </w:t>
      </w:r>
      <w:r w:rsidR="00306364" w:rsidRPr="00336C11">
        <w:rPr>
          <w:sz w:val="22"/>
          <w:szCs w:val="22"/>
          <w:lang w:val="en-GB"/>
        </w:rPr>
        <w:t xml:space="preserve">a </w:t>
      </w:r>
      <w:r w:rsidR="00D05A64" w:rsidRPr="00336C11">
        <w:rPr>
          <w:sz w:val="22"/>
          <w:szCs w:val="22"/>
          <w:lang w:val="en-GB"/>
        </w:rPr>
        <w:t>long-term organizational contract</w:t>
      </w:r>
      <w:r w:rsidR="00360C74">
        <w:rPr>
          <w:sz w:val="22"/>
          <w:szCs w:val="22"/>
          <w:lang w:val="en-GB"/>
        </w:rPr>
        <w:t xml:space="preserve">, so to benefits from the ensuing </w:t>
      </w:r>
      <w:r w:rsidR="00580883" w:rsidRPr="00336C11">
        <w:rPr>
          <w:sz w:val="22"/>
          <w:szCs w:val="22"/>
          <w:lang w:val="en-GB"/>
        </w:rPr>
        <w:t xml:space="preserve">“lock-in effect” </w:t>
      </w:r>
      <w:r w:rsidR="00360C74">
        <w:rPr>
          <w:sz w:val="22"/>
          <w:szCs w:val="22"/>
          <w:lang w:val="en-GB"/>
        </w:rPr>
        <w:t xml:space="preserve">and </w:t>
      </w:r>
      <w:r w:rsidR="00580883" w:rsidRPr="00336C11">
        <w:rPr>
          <w:sz w:val="22"/>
          <w:szCs w:val="22"/>
          <w:lang w:val="en-GB"/>
        </w:rPr>
        <w:t xml:space="preserve">predetermine the optimal amount of investments </w:t>
      </w:r>
      <w:r w:rsidR="00B061C8" w:rsidRPr="00336C11">
        <w:rPr>
          <w:sz w:val="22"/>
          <w:szCs w:val="22"/>
          <w:lang w:val="en-GB"/>
        </w:rPr>
        <w:t xml:space="preserve">without fearing </w:t>
      </w:r>
      <w:r w:rsidR="00360C74">
        <w:rPr>
          <w:sz w:val="22"/>
          <w:szCs w:val="22"/>
          <w:lang w:val="en-GB"/>
        </w:rPr>
        <w:t xml:space="preserve">any </w:t>
      </w:r>
      <w:r w:rsidR="00B061C8" w:rsidRPr="00336C11">
        <w:rPr>
          <w:sz w:val="22"/>
          <w:szCs w:val="22"/>
          <w:lang w:val="en-GB"/>
        </w:rPr>
        <w:t>threat of abandonment</w:t>
      </w:r>
      <w:r w:rsidR="00580883" w:rsidRPr="00336C11">
        <w:rPr>
          <w:sz w:val="22"/>
          <w:szCs w:val="22"/>
          <w:lang w:val="en-GB"/>
        </w:rPr>
        <w:t>.</w:t>
      </w:r>
      <w:r w:rsidR="00FC72A6" w:rsidRPr="00336C11">
        <w:rPr>
          <w:sz w:val="22"/>
          <w:szCs w:val="22"/>
          <w:vertAlign w:val="superscript"/>
        </w:rPr>
        <w:footnoteReference w:id="15"/>
      </w:r>
      <w:r w:rsidR="00FC72A6" w:rsidRPr="00336C11">
        <w:rPr>
          <w:sz w:val="22"/>
          <w:szCs w:val="22"/>
          <w:lang w:val="en-GB"/>
        </w:rPr>
        <w:t xml:space="preserve"> </w:t>
      </w:r>
      <w:r w:rsidR="00B061C8" w:rsidRPr="00336C11">
        <w:rPr>
          <w:sz w:val="22"/>
          <w:szCs w:val="22"/>
          <w:lang w:val="en-GB"/>
        </w:rPr>
        <w:t xml:space="preserve">Although </w:t>
      </w:r>
      <w:r w:rsidR="000C4B7F" w:rsidRPr="00336C11">
        <w:rPr>
          <w:sz w:val="22"/>
          <w:szCs w:val="22"/>
          <w:lang w:val="en-GB"/>
        </w:rPr>
        <w:t xml:space="preserve">the </w:t>
      </w:r>
      <w:r w:rsidR="00EB0AA3" w:rsidRPr="00336C11">
        <w:rPr>
          <w:sz w:val="22"/>
          <w:szCs w:val="22"/>
          <w:lang w:val="en-GB"/>
        </w:rPr>
        <w:t xml:space="preserve">menu of available </w:t>
      </w:r>
      <w:r w:rsidR="00195604" w:rsidRPr="00336C11">
        <w:rPr>
          <w:sz w:val="22"/>
          <w:szCs w:val="22"/>
          <w:lang w:val="en-GB"/>
        </w:rPr>
        <w:t xml:space="preserve">business organization forms </w:t>
      </w:r>
      <w:r w:rsidR="000C4B7F" w:rsidRPr="00336C11">
        <w:rPr>
          <w:sz w:val="22"/>
          <w:szCs w:val="22"/>
          <w:lang w:val="en-GB"/>
        </w:rPr>
        <w:t xml:space="preserve">is </w:t>
      </w:r>
      <w:r w:rsidR="00195604" w:rsidRPr="00336C11">
        <w:rPr>
          <w:sz w:val="22"/>
          <w:szCs w:val="22"/>
          <w:lang w:val="en-GB"/>
        </w:rPr>
        <w:t xml:space="preserve">generally </w:t>
      </w:r>
      <w:r w:rsidR="000C4B7F" w:rsidRPr="00336C11">
        <w:rPr>
          <w:sz w:val="22"/>
          <w:szCs w:val="22"/>
          <w:lang w:val="en-GB"/>
        </w:rPr>
        <w:t>relatively rich,</w:t>
      </w:r>
      <w:r w:rsidR="0068660F" w:rsidRPr="00336C11">
        <w:rPr>
          <w:rStyle w:val="FootnoteReference"/>
          <w:rFonts w:ascii="Times New Roman" w:hAnsi="Times New Roman"/>
          <w:sz w:val="22"/>
          <w:szCs w:val="22"/>
          <w:lang w:val="en-GB"/>
        </w:rPr>
        <w:footnoteReference w:id="16"/>
      </w:r>
      <w:r w:rsidR="000C4B7F" w:rsidRPr="00336C11">
        <w:rPr>
          <w:sz w:val="22"/>
          <w:szCs w:val="22"/>
          <w:lang w:val="en-GB"/>
        </w:rPr>
        <w:t xml:space="preserve"> </w:t>
      </w:r>
      <w:r w:rsidR="00100A78">
        <w:rPr>
          <w:sz w:val="22"/>
          <w:szCs w:val="22"/>
          <w:lang w:val="en-GB"/>
        </w:rPr>
        <w:t xml:space="preserve">prospective business partners </w:t>
      </w:r>
      <w:r w:rsidR="000C4B7F" w:rsidRPr="00336C11">
        <w:rPr>
          <w:sz w:val="22"/>
          <w:szCs w:val="22"/>
          <w:lang w:val="en-GB"/>
        </w:rPr>
        <w:t xml:space="preserve">often resort to </w:t>
      </w:r>
      <w:r w:rsidR="00E97613" w:rsidRPr="00336C11">
        <w:rPr>
          <w:sz w:val="22"/>
          <w:szCs w:val="22"/>
          <w:lang w:val="en-GB"/>
        </w:rPr>
        <w:t xml:space="preserve">the </w:t>
      </w:r>
      <w:r w:rsidR="000351AC" w:rsidRPr="00336C11">
        <w:rPr>
          <w:sz w:val="22"/>
          <w:szCs w:val="22"/>
          <w:lang w:val="en-GB"/>
        </w:rPr>
        <w:t xml:space="preserve">corporate </w:t>
      </w:r>
      <w:r w:rsidR="00100A78">
        <w:rPr>
          <w:sz w:val="22"/>
          <w:szCs w:val="22"/>
          <w:lang w:val="en-GB"/>
        </w:rPr>
        <w:t>firm</w:t>
      </w:r>
      <w:r w:rsidR="00413C4C" w:rsidRPr="00336C11">
        <w:rPr>
          <w:sz w:val="22"/>
          <w:szCs w:val="22"/>
          <w:lang w:val="en-GB"/>
        </w:rPr>
        <w:t>.</w:t>
      </w:r>
      <w:r w:rsidR="00FC72A6" w:rsidRPr="00336C11">
        <w:rPr>
          <w:rStyle w:val="FootnoteReference"/>
          <w:rFonts w:ascii="Times New Roman" w:hAnsi="Times New Roman"/>
          <w:sz w:val="22"/>
          <w:szCs w:val="22"/>
          <w:lang w:val="en-GB"/>
        </w:rPr>
        <w:footnoteReference w:id="17"/>
      </w:r>
      <w:r w:rsidR="00756230" w:rsidRPr="00336C11">
        <w:rPr>
          <w:sz w:val="22"/>
          <w:szCs w:val="22"/>
          <w:lang w:val="en-GB"/>
        </w:rPr>
        <w:t xml:space="preserve"> </w:t>
      </w:r>
    </w:p>
    <w:p w14:paraId="09B69602" w14:textId="0031F7C8" w:rsidR="00D6452C" w:rsidRPr="00336C11" w:rsidRDefault="00360C74" w:rsidP="00497127">
      <w:pPr>
        <w:ind w:firstLine="567"/>
        <w:jc w:val="both"/>
        <w:rPr>
          <w:lang w:val="en-GB"/>
        </w:rPr>
      </w:pPr>
      <w:r>
        <w:rPr>
          <w:sz w:val="22"/>
          <w:szCs w:val="22"/>
          <w:lang w:val="en-GB"/>
        </w:rPr>
        <w:t xml:space="preserve">As a result of a </w:t>
      </w:r>
      <w:r w:rsidR="00580883" w:rsidRPr="00336C11">
        <w:rPr>
          <w:sz w:val="22"/>
          <w:szCs w:val="22"/>
          <w:lang w:val="en-GB"/>
        </w:rPr>
        <w:t>presumably value-maximising deal,</w:t>
      </w:r>
      <w:r w:rsidR="00580883" w:rsidRPr="00336C11">
        <w:rPr>
          <w:rStyle w:val="FootnoteReference"/>
          <w:rFonts w:ascii="Times New Roman" w:hAnsi="Times New Roman"/>
          <w:sz w:val="22"/>
          <w:szCs w:val="22"/>
          <w:lang w:val="en-GB"/>
        </w:rPr>
        <w:footnoteReference w:id="18"/>
      </w:r>
      <w:r w:rsidR="00580883" w:rsidRPr="00336C11">
        <w:rPr>
          <w:sz w:val="22"/>
          <w:szCs w:val="22"/>
          <w:lang w:val="en-GB"/>
        </w:rPr>
        <w:t xml:space="preserve"> th</w:t>
      </w:r>
      <w:r w:rsidR="00100A78">
        <w:rPr>
          <w:sz w:val="22"/>
          <w:szCs w:val="22"/>
          <w:lang w:val="en-GB"/>
        </w:rPr>
        <w:t>e relevant</w:t>
      </w:r>
      <w:r w:rsidR="00580883" w:rsidRPr="00336C11">
        <w:rPr>
          <w:sz w:val="22"/>
          <w:szCs w:val="22"/>
          <w:lang w:val="en-GB"/>
        </w:rPr>
        <w:t xml:space="preserve"> contract</w:t>
      </w:r>
      <w:r w:rsidR="00F4318D" w:rsidRPr="00336C11">
        <w:rPr>
          <w:sz w:val="22"/>
          <w:szCs w:val="22"/>
          <w:lang w:val="en-GB"/>
        </w:rPr>
        <w:t xml:space="preserve"> address</w:t>
      </w:r>
      <w:r w:rsidR="00B04D42">
        <w:rPr>
          <w:sz w:val="22"/>
          <w:szCs w:val="22"/>
          <w:lang w:val="en-GB"/>
        </w:rPr>
        <w:t>es</w:t>
      </w:r>
      <w:r w:rsidR="00F4318D" w:rsidRPr="00336C11">
        <w:rPr>
          <w:sz w:val="22"/>
          <w:szCs w:val="22"/>
          <w:lang w:val="en-GB"/>
        </w:rPr>
        <w:t xml:space="preserve"> </w:t>
      </w:r>
      <w:r w:rsidR="00B061C8" w:rsidRPr="00336C11">
        <w:rPr>
          <w:sz w:val="22"/>
          <w:szCs w:val="22"/>
          <w:lang w:val="en-GB"/>
        </w:rPr>
        <w:t xml:space="preserve">the </w:t>
      </w:r>
      <w:r w:rsidR="00D26939" w:rsidRPr="00336C11">
        <w:rPr>
          <w:sz w:val="22"/>
          <w:szCs w:val="22"/>
          <w:lang w:val="en-GB"/>
        </w:rPr>
        <w:t>issues that are idiosyncratic to this context</w:t>
      </w:r>
      <w:r>
        <w:rPr>
          <w:sz w:val="22"/>
          <w:szCs w:val="22"/>
          <w:lang w:val="en-GB"/>
        </w:rPr>
        <w:t xml:space="preserve"> through a number of arrangements</w:t>
      </w:r>
      <w:r w:rsidR="00D26939" w:rsidRPr="00336C11">
        <w:rPr>
          <w:sz w:val="22"/>
          <w:szCs w:val="22"/>
          <w:lang w:val="en-GB"/>
        </w:rPr>
        <w:t xml:space="preserve"> </w:t>
      </w:r>
      <w:r>
        <w:rPr>
          <w:sz w:val="22"/>
          <w:szCs w:val="22"/>
          <w:lang w:val="en-GB"/>
        </w:rPr>
        <w:t xml:space="preserve">that lead to a given allocation of </w:t>
      </w:r>
      <w:r w:rsidR="00413C4C" w:rsidRPr="00336C11">
        <w:rPr>
          <w:sz w:val="22"/>
          <w:szCs w:val="22"/>
          <w:lang w:val="en-GB"/>
        </w:rPr>
        <w:t>control-</w:t>
      </w:r>
      <w:r w:rsidR="00F4318D" w:rsidRPr="00336C11">
        <w:rPr>
          <w:sz w:val="22"/>
          <w:szCs w:val="22"/>
          <w:lang w:val="en-GB"/>
        </w:rPr>
        <w:t>rights (both specific and residual)</w:t>
      </w:r>
      <w:r w:rsidR="00413C4C" w:rsidRPr="00336C11">
        <w:rPr>
          <w:sz w:val="22"/>
          <w:szCs w:val="22"/>
          <w:lang w:val="en-GB"/>
        </w:rPr>
        <w:t xml:space="preserve"> and cash flow-rights</w:t>
      </w:r>
      <w:r w:rsidR="005C1C42" w:rsidRPr="00336C11">
        <w:rPr>
          <w:sz w:val="22"/>
          <w:szCs w:val="22"/>
          <w:lang w:val="en-GB"/>
        </w:rPr>
        <w:t>.</w:t>
      </w:r>
      <w:r w:rsidRPr="00360C74">
        <w:rPr>
          <w:rStyle w:val="FootnoteReference"/>
          <w:rFonts w:ascii="Times New Roman" w:hAnsi="Times New Roman"/>
          <w:sz w:val="22"/>
          <w:szCs w:val="22"/>
          <w:lang w:val="en-GB"/>
        </w:rPr>
        <w:t xml:space="preserve"> </w:t>
      </w:r>
      <w:r w:rsidRPr="00336C11">
        <w:rPr>
          <w:rStyle w:val="FootnoteReference"/>
          <w:rFonts w:ascii="Times New Roman" w:hAnsi="Times New Roman"/>
          <w:sz w:val="22"/>
          <w:szCs w:val="22"/>
          <w:lang w:val="en-GB"/>
        </w:rPr>
        <w:footnoteReference w:id="19"/>
      </w:r>
      <w:r w:rsidR="0025510E" w:rsidRPr="00336C11">
        <w:rPr>
          <w:sz w:val="22"/>
          <w:szCs w:val="22"/>
          <w:lang w:val="en-GB"/>
        </w:rPr>
        <w:t xml:space="preserve"> </w:t>
      </w:r>
      <w:r w:rsidR="00306364" w:rsidRPr="00336C11">
        <w:rPr>
          <w:sz w:val="22"/>
          <w:szCs w:val="22"/>
          <w:lang w:val="en-GB"/>
        </w:rPr>
        <w:t>U</w:t>
      </w:r>
      <w:r w:rsidR="00125FBB" w:rsidRPr="00336C11">
        <w:rPr>
          <w:sz w:val="22"/>
          <w:szCs w:val="22"/>
          <w:lang w:val="en-GB"/>
        </w:rPr>
        <w:t xml:space="preserve">nless </w:t>
      </w:r>
      <w:r w:rsidR="00DC29E3" w:rsidRPr="00336C11">
        <w:rPr>
          <w:sz w:val="22"/>
          <w:szCs w:val="22"/>
          <w:lang w:val="en-GB"/>
        </w:rPr>
        <w:t xml:space="preserve">otherwise </w:t>
      </w:r>
      <w:r w:rsidR="00125FBB" w:rsidRPr="00336C11">
        <w:rPr>
          <w:sz w:val="22"/>
          <w:szCs w:val="22"/>
          <w:lang w:val="en-GB"/>
        </w:rPr>
        <w:t>provided for</w:t>
      </w:r>
      <w:r w:rsidR="00306364" w:rsidRPr="00336C11">
        <w:rPr>
          <w:sz w:val="22"/>
          <w:szCs w:val="22"/>
          <w:lang w:val="en-GB"/>
        </w:rPr>
        <w:t xml:space="preserve"> in the contract</w:t>
      </w:r>
      <w:r w:rsidR="00125FBB" w:rsidRPr="00336C11">
        <w:rPr>
          <w:sz w:val="22"/>
          <w:szCs w:val="22"/>
          <w:lang w:val="en-GB"/>
        </w:rPr>
        <w:t xml:space="preserve">, </w:t>
      </w:r>
      <w:r w:rsidR="005B5B3A" w:rsidRPr="00336C11">
        <w:rPr>
          <w:sz w:val="22"/>
          <w:szCs w:val="22"/>
          <w:lang w:val="en-GB"/>
        </w:rPr>
        <w:t>shareholder</w:t>
      </w:r>
      <w:r w:rsidR="00306364" w:rsidRPr="00336C11">
        <w:rPr>
          <w:sz w:val="22"/>
          <w:szCs w:val="22"/>
          <w:lang w:val="en-GB"/>
        </w:rPr>
        <w:t>s</w:t>
      </w:r>
      <w:r w:rsidR="005B5B3A" w:rsidRPr="00336C11">
        <w:rPr>
          <w:sz w:val="22"/>
          <w:szCs w:val="22"/>
          <w:lang w:val="en-GB"/>
        </w:rPr>
        <w:t xml:space="preserve"> </w:t>
      </w:r>
      <w:r w:rsidR="00F4318D" w:rsidRPr="00336C11">
        <w:rPr>
          <w:sz w:val="22"/>
          <w:szCs w:val="22"/>
          <w:lang w:val="en-GB"/>
        </w:rPr>
        <w:t xml:space="preserve">ought then to </w:t>
      </w:r>
      <w:r w:rsidR="00125FBB" w:rsidRPr="00336C11">
        <w:rPr>
          <w:sz w:val="22"/>
          <w:szCs w:val="22"/>
          <w:lang w:val="en-GB"/>
        </w:rPr>
        <w:t xml:space="preserve">exercise </w:t>
      </w:r>
      <w:r w:rsidR="00DC29E3" w:rsidRPr="00336C11">
        <w:rPr>
          <w:sz w:val="22"/>
          <w:szCs w:val="22"/>
          <w:lang w:val="en-GB"/>
        </w:rPr>
        <w:t>their prerogatives</w:t>
      </w:r>
      <w:r>
        <w:rPr>
          <w:sz w:val="22"/>
          <w:szCs w:val="22"/>
          <w:lang w:val="en-GB"/>
        </w:rPr>
        <w:t xml:space="preserve"> </w:t>
      </w:r>
      <w:r w:rsidR="00306364" w:rsidRPr="00336C11">
        <w:rPr>
          <w:sz w:val="22"/>
          <w:szCs w:val="22"/>
          <w:lang w:val="en-GB"/>
        </w:rPr>
        <w:t xml:space="preserve">in order </w:t>
      </w:r>
      <w:r w:rsidR="00125FBB" w:rsidRPr="00336C11">
        <w:rPr>
          <w:sz w:val="22"/>
          <w:szCs w:val="22"/>
          <w:lang w:val="en-GB"/>
        </w:rPr>
        <w:t xml:space="preserve">to </w:t>
      </w:r>
      <w:r w:rsidR="005B5B3A" w:rsidRPr="00336C11">
        <w:rPr>
          <w:sz w:val="22"/>
          <w:szCs w:val="22"/>
          <w:lang w:val="en-GB"/>
        </w:rPr>
        <w:t>maximiz</w:t>
      </w:r>
      <w:r w:rsidR="00306364" w:rsidRPr="00336C11">
        <w:rPr>
          <w:sz w:val="22"/>
          <w:szCs w:val="22"/>
          <w:lang w:val="en-GB"/>
        </w:rPr>
        <w:t>e</w:t>
      </w:r>
      <w:r w:rsidR="005B5B3A" w:rsidRPr="00336C11">
        <w:rPr>
          <w:sz w:val="22"/>
          <w:szCs w:val="22"/>
          <w:lang w:val="en-GB"/>
        </w:rPr>
        <w:t xml:space="preserve"> </w:t>
      </w:r>
      <w:r w:rsidR="00306364" w:rsidRPr="00336C11">
        <w:rPr>
          <w:sz w:val="22"/>
          <w:szCs w:val="22"/>
          <w:lang w:val="en-GB"/>
        </w:rPr>
        <w:t>firm value</w:t>
      </w:r>
      <w:r w:rsidR="005C1C42" w:rsidRPr="00336C11">
        <w:rPr>
          <w:sz w:val="22"/>
          <w:szCs w:val="22"/>
          <w:lang w:val="en-GB"/>
        </w:rPr>
        <w:t>,</w:t>
      </w:r>
      <w:r w:rsidR="005B5B3A" w:rsidRPr="00336C11">
        <w:rPr>
          <w:rStyle w:val="FootnoteReference"/>
          <w:rFonts w:ascii="Times New Roman" w:hAnsi="Times New Roman"/>
          <w:sz w:val="22"/>
          <w:szCs w:val="22"/>
          <w:lang w:val="en-GB"/>
        </w:rPr>
        <w:footnoteReference w:id="20"/>
      </w:r>
      <w:r w:rsidR="007668B8" w:rsidRPr="00336C11">
        <w:rPr>
          <w:sz w:val="22"/>
          <w:szCs w:val="22"/>
          <w:lang w:val="en-GB"/>
        </w:rPr>
        <w:t xml:space="preserve"> </w:t>
      </w:r>
      <w:r w:rsidR="00306364" w:rsidRPr="00336C11">
        <w:rPr>
          <w:sz w:val="22"/>
          <w:szCs w:val="22"/>
          <w:lang w:val="en-GB"/>
        </w:rPr>
        <w:t>eventually shar</w:t>
      </w:r>
      <w:r w:rsidR="005C1C42" w:rsidRPr="00336C11">
        <w:rPr>
          <w:sz w:val="22"/>
          <w:szCs w:val="22"/>
          <w:lang w:val="en-GB"/>
        </w:rPr>
        <w:t>ing in it</w:t>
      </w:r>
      <w:r w:rsidR="00195604" w:rsidRPr="00336C11">
        <w:rPr>
          <w:sz w:val="22"/>
          <w:szCs w:val="22"/>
          <w:lang w:val="en-GB"/>
        </w:rPr>
        <w:t xml:space="preserve"> </w:t>
      </w:r>
      <w:r w:rsidR="007668B8" w:rsidRPr="00336C11">
        <w:rPr>
          <w:sz w:val="22"/>
          <w:szCs w:val="22"/>
          <w:lang w:val="en-GB"/>
        </w:rPr>
        <w:t>as per contract’s stipulations.</w:t>
      </w:r>
      <w:r w:rsidR="0068660F" w:rsidRPr="00336C11">
        <w:rPr>
          <w:sz w:val="22"/>
          <w:szCs w:val="22"/>
          <w:lang w:val="en-GB"/>
        </w:rPr>
        <w:t xml:space="preserve"> </w:t>
      </w:r>
      <w:r w:rsidR="000B6DAC" w:rsidRPr="00336C11">
        <w:rPr>
          <w:sz w:val="22"/>
          <w:szCs w:val="22"/>
          <w:lang w:val="en-GB"/>
        </w:rPr>
        <w:t xml:space="preserve"> </w:t>
      </w:r>
    </w:p>
    <w:p w14:paraId="1B0FA7FF" w14:textId="21462552" w:rsidR="00950738" w:rsidRDefault="00950738" w:rsidP="00950738">
      <w:pPr>
        <w:ind w:firstLine="567"/>
        <w:jc w:val="both"/>
        <w:rPr>
          <w:sz w:val="22"/>
          <w:szCs w:val="22"/>
          <w:lang w:val="en-GB"/>
        </w:rPr>
      </w:pPr>
      <w:r w:rsidRPr="00336C11">
        <w:rPr>
          <w:sz w:val="22"/>
          <w:szCs w:val="22"/>
          <w:lang w:val="en-GB"/>
        </w:rPr>
        <w:t>Whichever the promises enshrined in the contract, real-life shows that cooperation within close firms does often proves problematic</w:t>
      </w:r>
      <w:r>
        <w:rPr>
          <w:sz w:val="22"/>
          <w:szCs w:val="22"/>
          <w:lang w:val="en-GB"/>
        </w:rPr>
        <w:t xml:space="preserve">, with </w:t>
      </w:r>
      <w:r w:rsidRPr="00336C11">
        <w:rPr>
          <w:sz w:val="22"/>
          <w:szCs w:val="22"/>
          <w:lang w:val="en-GB"/>
        </w:rPr>
        <w:t>additional forms opportunism</w:t>
      </w:r>
      <w:r>
        <w:rPr>
          <w:sz w:val="22"/>
          <w:szCs w:val="22"/>
          <w:lang w:val="en-GB"/>
        </w:rPr>
        <w:t xml:space="preserve"> </w:t>
      </w:r>
      <w:r w:rsidRPr="00336C11">
        <w:rPr>
          <w:sz w:val="22"/>
          <w:szCs w:val="22"/>
          <w:lang w:val="en-GB"/>
        </w:rPr>
        <w:t>unfold</w:t>
      </w:r>
      <w:r>
        <w:rPr>
          <w:sz w:val="22"/>
          <w:szCs w:val="22"/>
          <w:lang w:val="en-GB"/>
        </w:rPr>
        <w:t>ing</w:t>
      </w:r>
      <w:r w:rsidRPr="00336C11">
        <w:rPr>
          <w:sz w:val="22"/>
          <w:szCs w:val="22"/>
          <w:lang w:val="en-GB"/>
        </w:rPr>
        <w:t xml:space="preserve"> in all its well-known kaleidoscopic folklore</w:t>
      </w:r>
      <w:r>
        <w:rPr>
          <w:sz w:val="22"/>
          <w:szCs w:val="22"/>
          <w:lang w:val="en-GB"/>
        </w:rPr>
        <w:t xml:space="preserve"> in spite of the </w:t>
      </w:r>
      <w:r w:rsidRPr="00336C11">
        <w:rPr>
          <w:sz w:val="22"/>
          <w:szCs w:val="22"/>
          <w:lang w:val="en-GB"/>
        </w:rPr>
        <w:t xml:space="preserve">powerful informal constraints </w:t>
      </w:r>
      <w:r>
        <w:rPr>
          <w:sz w:val="22"/>
          <w:szCs w:val="22"/>
          <w:lang w:val="en-GB"/>
        </w:rPr>
        <w:t xml:space="preserve">in the abstract </w:t>
      </w:r>
      <w:r w:rsidRPr="00336C11">
        <w:rPr>
          <w:sz w:val="22"/>
          <w:szCs w:val="22"/>
          <w:lang w:val="en-GB"/>
        </w:rPr>
        <w:t>operating in this context, such as bonding and reputation</w:t>
      </w:r>
      <w:r>
        <w:rPr>
          <w:sz w:val="22"/>
          <w:szCs w:val="22"/>
          <w:lang w:val="en-GB"/>
        </w:rPr>
        <w:t>.</w:t>
      </w:r>
      <w:r w:rsidRPr="00336C11">
        <w:rPr>
          <w:rStyle w:val="FootnoteReference"/>
          <w:rFonts w:ascii="Times New Roman" w:hAnsi="Times New Roman"/>
          <w:sz w:val="22"/>
          <w:szCs w:val="22"/>
          <w:lang w:val="en-GB"/>
        </w:rPr>
        <w:footnoteReference w:id="21"/>
      </w:r>
      <w:r w:rsidRPr="00336C11">
        <w:rPr>
          <w:sz w:val="22"/>
          <w:szCs w:val="22"/>
          <w:lang w:val="en-GB"/>
        </w:rPr>
        <w:t xml:space="preserve"> </w:t>
      </w:r>
      <w:r w:rsidR="000A1263">
        <w:rPr>
          <w:sz w:val="22"/>
          <w:szCs w:val="22"/>
          <w:lang w:val="en-GB"/>
        </w:rPr>
        <w:t xml:space="preserve">However scant, </w:t>
      </w:r>
      <w:r w:rsidR="000A1263" w:rsidRPr="00336C11">
        <w:rPr>
          <w:sz w:val="22"/>
          <w:szCs w:val="22"/>
          <w:lang w:val="en-GB"/>
        </w:rPr>
        <w:t xml:space="preserve">available </w:t>
      </w:r>
      <w:r w:rsidRPr="00336C11">
        <w:rPr>
          <w:sz w:val="22"/>
          <w:szCs w:val="22"/>
          <w:lang w:val="en-GB"/>
        </w:rPr>
        <w:t xml:space="preserve">empirical data suggest in fact that opportunism in this context is </w:t>
      </w:r>
      <w:r w:rsidRPr="00336C11">
        <w:rPr>
          <w:sz w:val="22"/>
          <w:szCs w:val="22"/>
          <w:lang w:val="en-GB"/>
        </w:rPr>
        <w:lastRenderedPageBreak/>
        <w:t>pervasive, affecting firm performance significantly and resulting in non-negligible intra-firm value redistribution dynamics.</w:t>
      </w:r>
      <w:r w:rsidRPr="00336C11">
        <w:rPr>
          <w:rStyle w:val="FootnoteReference"/>
          <w:rFonts w:ascii="Times New Roman" w:hAnsi="Times New Roman"/>
          <w:sz w:val="22"/>
          <w:szCs w:val="22"/>
          <w:lang w:val="en-GB"/>
        </w:rPr>
        <w:footnoteReference w:id="22"/>
      </w:r>
      <w:r w:rsidRPr="00336C11">
        <w:rPr>
          <w:sz w:val="22"/>
          <w:szCs w:val="22"/>
          <w:lang w:val="en-GB"/>
        </w:rPr>
        <w:t xml:space="preserve"> </w:t>
      </w:r>
    </w:p>
    <w:p w14:paraId="47A608E0" w14:textId="77777777" w:rsidR="00950738" w:rsidRDefault="00950738" w:rsidP="00950738">
      <w:pPr>
        <w:ind w:firstLine="567"/>
        <w:jc w:val="both"/>
        <w:rPr>
          <w:sz w:val="22"/>
          <w:szCs w:val="22"/>
          <w:lang w:val="en-GB"/>
        </w:rPr>
      </w:pPr>
      <w:r w:rsidRPr="00336C11">
        <w:rPr>
          <w:sz w:val="22"/>
          <w:szCs w:val="22"/>
          <w:lang w:val="en-GB"/>
        </w:rPr>
        <w:t xml:space="preserve">While immediately problematic due </w:t>
      </w:r>
      <w:r>
        <w:rPr>
          <w:sz w:val="22"/>
          <w:szCs w:val="22"/>
          <w:lang w:val="en-GB"/>
        </w:rPr>
        <w:t xml:space="preserve">the ensuing </w:t>
      </w:r>
      <w:r w:rsidRPr="00336C11">
        <w:rPr>
          <w:sz w:val="22"/>
          <w:szCs w:val="22"/>
          <w:lang w:val="en-GB"/>
        </w:rPr>
        <w:t xml:space="preserve">redistributive effects, opportunism is even more worrisome for it can consequently </w:t>
      </w:r>
      <w:r>
        <w:rPr>
          <w:sz w:val="22"/>
          <w:szCs w:val="22"/>
          <w:lang w:val="en-GB"/>
        </w:rPr>
        <w:t xml:space="preserve">also </w:t>
      </w:r>
      <w:r w:rsidRPr="00336C11">
        <w:rPr>
          <w:sz w:val="22"/>
          <w:szCs w:val="22"/>
          <w:lang w:val="en-GB"/>
        </w:rPr>
        <w:t>affect adversely the market for (financial, human, relational and political</w:t>
      </w:r>
      <w:r w:rsidRPr="00336C11">
        <w:rPr>
          <w:rStyle w:val="FootnoteReference"/>
          <w:rFonts w:ascii="Times New Roman" w:hAnsi="Times New Roman"/>
          <w:sz w:val="22"/>
          <w:szCs w:val="22"/>
          <w:lang w:val="en-GB"/>
        </w:rPr>
        <w:footnoteReference w:id="23"/>
      </w:r>
      <w:r w:rsidRPr="00336C11">
        <w:rPr>
          <w:sz w:val="22"/>
          <w:szCs w:val="22"/>
          <w:lang w:val="en-GB"/>
        </w:rPr>
        <w:t>) capital upon which prospective business partners will tap in the future in order to assemble the resources required to start any business.</w:t>
      </w:r>
      <w:r w:rsidRPr="00336C11">
        <w:rPr>
          <w:rStyle w:val="FootnoteReference"/>
          <w:rFonts w:ascii="Times New Roman" w:hAnsi="Times New Roman"/>
          <w:sz w:val="22"/>
          <w:szCs w:val="22"/>
          <w:lang w:val="en-GB"/>
        </w:rPr>
        <w:footnoteReference w:id="24"/>
      </w:r>
      <w:r w:rsidRPr="00336C11">
        <w:rPr>
          <w:sz w:val="22"/>
          <w:szCs w:val="22"/>
          <w:lang w:val="en-GB"/>
        </w:rPr>
        <w:t xml:space="preserve"> Anticipating expropriation, prospective business partners may in fact making suboptimal levels of investments or even decide not to invest at all. </w:t>
      </w:r>
      <w:r>
        <w:rPr>
          <w:sz w:val="22"/>
          <w:szCs w:val="22"/>
          <w:lang w:val="en-GB"/>
        </w:rPr>
        <w:t>S</w:t>
      </w:r>
      <w:r w:rsidRPr="00336C11">
        <w:rPr>
          <w:sz w:val="22"/>
          <w:szCs w:val="22"/>
          <w:lang w:val="en-GB"/>
        </w:rPr>
        <w:t xml:space="preserve">ituations may </w:t>
      </w:r>
      <w:r>
        <w:rPr>
          <w:sz w:val="22"/>
          <w:szCs w:val="22"/>
          <w:lang w:val="en-GB"/>
        </w:rPr>
        <w:t xml:space="preserve">accordingly </w:t>
      </w:r>
      <w:r w:rsidRPr="00336C11">
        <w:rPr>
          <w:sz w:val="22"/>
          <w:szCs w:val="22"/>
          <w:lang w:val="en-GB"/>
        </w:rPr>
        <w:t>come into existence where the market fails at supporting the implementation of positive net present value business projects, to the ultimate detriment of overall societal wealth.</w:t>
      </w:r>
      <w:r w:rsidRPr="00336C11">
        <w:rPr>
          <w:rStyle w:val="FootnoteReference"/>
          <w:rFonts w:ascii="Times New Roman" w:hAnsi="Times New Roman"/>
          <w:sz w:val="22"/>
          <w:szCs w:val="22"/>
          <w:lang w:val="en-GB"/>
        </w:rPr>
        <w:footnoteReference w:id="25"/>
      </w:r>
      <w:r w:rsidRPr="00336C11">
        <w:rPr>
          <w:sz w:val="22"/>
          <w:szCs w:val="22"/>
          <w:lang w:val="en-GB"/>
        </w:rPr>
        <w:t xml:space="preserve"> </w:t>
      </w:r>
    </w:p>
    <w:p w14:paraId="610E1A9D" w14:textId="06E919FA" w:rsidR="00950738" w:rsidRDefault="00167D33" w:rsidP="00734828">
      <w:pPr>
        <w:ind w:firstLine="567"/>
        <w:jc w:val="both"/>
        <w:rPr>
          <w:sz w:val="22"/>
          <w:szCs w:val="22"/>
          <w:lang w:val="en-GB"/>
        </w:rPr>
      </w:pPr>
      <w:r w:rsidRPr="00336C11">
        <w:rPr>
          <w:sz w:val="22"/>
          <w:szCs w:val="22"/>
          <w:lang w:val="en-GB"/>
        </w:rPr>
        <w:t xml:space="preserve">The first line of defence against opportunism risk consists in designing </w:t>
      </w:r>
      <w:r w:rsidR="002A2261" w:rsidRPr="00497127">
        <w:rPr>
          <w:i/>
          <w:sz w:val="22"/>
          <w:szCs w:val="22"/>
          <w:lang w:val="en-GB"/>
        </w:rPr>
        <w:t>ad hoc</w:t>
      </w:r>
      <w:r w:rsidR="002A2261">
        <w:rPr>
          <w:sz w:val="22"/>
          <w:szCs w:val="22"/>
          <w:lang w:val="en-GB"/>
        </w:rPr>
        <w:t xml:space="preserve"> </w:t>
      </w:r>
      <w:r w:rsidRPr="00336C11">
        <w:rPr>
          <w:sz w:val="22"/>
          <w:szCs w:val="22"/>
          <w:lang w:val="en-GB"/>
        </w:rPr>
        <w:t>governance institutions that may support contract self-enforcement</w:t>
      </w:r>
      <w:r w:rsidR="00DB6400">
        <w:rPr>
          <w:sz w:val="22"/>
          <w:szCs w:val="22"/>
          <w:lang w:val="en-GB"/>
        </w:rPr>
        <w:t>.</w:t>
      </w:r>
      <w:r w:rsidRPr="00336C11">
        <w:rPr>
          <w:rStyle w:val="FootnoteReference"/>
          <w:rFonts w:ascii="Times New Roman" w:hAnsi="Times New Roman"/>
          <w:sz w:val="22"/>
          <w:szCs w:val="22"/>
          <w:lang w:val="en-GB"/>
        </w:rPr>
        <w:footnoteReference w:id="26"/>
      </w:r>
      <w:r w:rsidRPr="00336C11">
        <w:rPr>
          <w:sz w:val="22"/>
          <w:szCs w:val="22"/>
          <w:lang w:val="en-GB"/>
        </w:rPr>
        <w:t xml:space="preserve"> </w:t>
      </w:r>
      <w:r w:rsidR="002A2261">
        <w:rPr>
          <w:sz w:val="22"/>
          <w:szCs w:val="22"/>
          <w:lang w:val="en-GB"/>
        </w:rPr>
        <w:t>T</w:t>
      </w:r>
      <w:r w:rsidR="00DB6400">
        <w:rPr>
          <w:sz w:val="22"/>
          <w:szCs w:val="22"/>
          <w:lang w:val="en-GB"/>
        </w:rPr>
        <w:t xml:space="preserve">o this end, </w:t>
      </w:r>
      <w:r w:rsidR="006A00BB" w:rsidRPr="00336C11">
        <w:rPr>
          <w:sz w:val="22"/>
          <w:szCs w:val="22"/>
          <w:lang w:val="en-GB"/>
        </w:rPr>
        <w:t xml:space="preserve">prospective </w:t>
      </w:r>
      <w:r w:rsidR="0098375B" w:rsidRPr="00336C11">
        <w:rPr>
          <w:sz w:val="22"/>
          <w:szCs w:val="22"/>
          <w:lang w:val="en-GB"/>
        </w:rPr>
        <w:t>business partners may</w:t>
      </w:r>
      <w:r w:rsidR="00DB6400">
        <w:rPr>
          <w:sz w:val="22"/>
          <w:szCs w:val="22"/>
          <w:lang w:val="en-GB"/>
        </w:rPr>
        <w:t xml:space="preserve"> </w:t>
      </w:r>
      <w:r w:rsidR="0098375B" w:rsidRPr="00336C11">
        <w:rPr>
          <w:sz w:val="22"/>
          <w:szCs w:val="22"/>
          <w:lang w:val="en-GB"/>
        </w:rPr>
        <w:t xml:space="preserve">want to </w:t>
      </w:r>
      <w:r w:rsidR="006A00BB" w:rsidRPr="00336C11">
        <w:rPr>
          <w:sz w:val="22"/>
          <w:szCs w:val="22"/>
          <w:lang w:val="en-GB"/>
        </w:rPr>
        <w:t xml:space="preserve">abandon the so-called “majoritarian rule” that governs decision-making at the shareholder level </w:t>
      </w:r>
      <w:r w:rsidR="00DB6400">
        <w:rPr>
          <w:sz w:val="22"/>
          <w:szCs w:val="22"/>
          <w:lang w:val="en-GB"/>
        </w:rPr>
        <w:t xml:space="preserve">to bring </w:t>
      </w:r>
      <w:r w:rsidR="006A00BB" w:rsidRPr="00336C11">
        <w:rPr>
          <w:sz w:val="22"/>
          <w:szCs w:val="22"/>
          <w:lang w:val="en-GB"/>
        </w:rPr>
        <w:t xml:space="preserve">in </w:t>
      </w:r>
      <w:r w:rsidR="007C7D3D" w:rsidRPr="00336C11">
        <w:rPr>
          <w:sz w:val="22"/>
          <w:szCs w:val="22"/>
          <w:lang w:val="en-GB"/>
        </w:rPr>
        <w:t>a “</w:t>
      </w:r>
      <w:r w:rsidR="001A7E43" w:rsidRPr="00336C11">
        <w:rPr>
          <w:sz w:val="22"/>
          <w:szCs w:val="22"/>
          <w:lang w:val="en-GB"/>
        </w:rPr>
        <w:t>co-decision-making procedure</w:t>
      </w:r>
      <w:r w:rsidR="007C7D3D" w:rsidRPr="00336C11">
        <w:rPr>
          <w:sz w:val="22"/>
          <w:szCs w:val="22"/>
          <w:lang w:val="en-GB"/>
        </w:rPr>
        <w:t>”</w:t>
      </w:r>
      <w:r w:rsidR="00771536">
        <w:rPr>
          <w:sz w:val="22"/>
          <w:szCs w:val="22"/>
          <w:lang w:val="en-GB"/>
        </w:rPr>
        <w:t xml:space="preserve"> through so called </w:t>
      </w:r>
      <w:r w:rsidR="00771536" w:rsidRPr="00950738">
        <w:rPr>
          <w:sz w:val="22"/>
          <w:szCs w:val="22"/>
          <w:lang w:val="en-GB"/>
        </w:rPr>
        <w:t>“control-sharing arrangements”</w:t>
      </w:r>
      <w:r w:rsidR="00771536">
        <w:rPr>
          <w:sz w:val="22"/>
          <w:szCs w:val="22"/>
          <w:lang w:val="en-GB"/>
        </w:rPr>
        <w:t>.</w:t>
      </w:r>
      <w:r w:rsidR="001A7E43" w:rsidRPr="00336C11">
        <w:rPr>
          <w:rStyle w:val="FootnoteReference"/>
          <w:rFonts w:ascii="Times New Roman" w:hAnsi="Times New Roman"/>
          <w:sz w:val="22"/>
          <w:szCs w:val="22"/>
          <w:lang w:val="en-GB"/>
        </w:rPr>
        <w:footnoteReference w:id="27"/>
      </w:r>
      <w:r w:rsidR="001A7E43" w:rsidRPr="00336C11">
        <w:rPr>
          <w:sz w:val="22"/>
          <w:szCs w:val="22"/>
          <w:lang w:val="en-GB"/>
        </w:rPr>
        <w:t xml:space="preserve"> </w:t>
      </w:r>
      <w:r w:rsidR="000A1263">
        <w:rPr>
          <w:sz w:val="22"/>
          <w:szCs w:val="22"/>
          <w:lang w:val="en-GB"/>
        </w:rPr>
        <w:t>T</w:t>
      </w:r>
      <w:r w:rsidRPr="00336C11">
        <w:rPr>
          <w:sz w:val="22"/>
          <w:szCs w:val="22"/>
          <w:lang w:val="en-GB"/>
        </w:rPr>
        <w:t xml:space="preserve">he shareholders </w:t>
      </w:r>
      <w:r w:rsidR="00DB6400">
        <w:rPr>
          <w:sz w:val="22"/>
          <w:szCs w:val="22"/>
          <w:lang w:val="en-GB"/>
        </w:rPr>
        <w:t xml:space="preserve">will then </w:t>
      </w:r>
      <w:r w:rsidR="001A7E43" w:rsidRPr="00336C11">
        <w:rPr>
          <w:sz w:val="22"/>
          <w:szCs w:val="22"/>
          <w:lang w:val="en-GB"/>
        </w:rPr>
        <w:t xml:space="preserve">end up </w:t>
      </w:r>
      <w:r w:rsidR="00335B5D" w:rsidRPr="00336C11">
        <w:rPr>
          <w:sz w:val="22"/>
          <w:szCs w:val="22"/>
          <w:lang w:val="en-GB"/>
        </w:rPr>
        <w:t>shar</w:t>
      </w:r>
      <w:r w:rsidR="001A7E43" w:rsidRPr="00336C11">
        <w:rPr>
          <w:sz w:val="22"/>
          <w:szCs w:val="22"/>
          <w:lang w:val="en-GB"/>
        </w:rPr>
        <w:t>ing</w:t>
      </w:r>
      <w:r w:rsidR="00335B5D" w:rsidRPr="00336C11">
        <w:rPr>
          <w:sz w:val="22"/>
          <w:szCs w:val="22"/>
          <w:lang w:val="en-GB"/>
        </w:rPr>
        <w:t xml:space="preserve"> </w:t>
      </w:r>
      <w:r w:rsidR="001A7E43" w:rsidRPr="00336C11">
        <w:rPr>
          <w:sz w:val="22"/>
          <w:szCs w:val="22"/>
          <w:lang w:val="en-GB"/>
        </w:rPr>
        <w:t xml:space="preserve">either </w:t>
      </w:r>
      <w:r w:rsidR="00335B5D" w:rsidRPr="00336C11">
        <w:rPr>
          <w:sz w:val="22"/>
          <w:szCs w:val="22"/>
          <w:lang w:val="en-GB"/>
        </w:rPr>
        <w:t xml:space="preserve">specific </w:t>
      </w:r>
      <w:r w:rsidR="001A7E43" w:rsidRPr="00336C11">
        <w:rPr>
          <w:sz w:val="22"/>
          <w:szCs w:val="22"/>
          <w:lang w:val="en-GB"/>
        </w:rPr>
        <w:t xml:space="preserve">control-rights </w:t>
      </w:r>
      <w:r w:rsidR="00335B5D" w:rsidRPr="00336C11">
        <w:rPr>
          <w:sz w:val="22"/>
          <w:szCs w:val="22"/>
          <w:lang w:val="en-GB"/>
        </w:rPr>
        <w:t xml:space="preserve">or </w:t>
      </w:r>
      <w:r w:rsidR="005D083E" w:rsidRPr="00336C11">
        <w:rPr>
          <w:sz w:val="22"/>
          <w:szCs w:val="22"/>
          <w:lang w:val="en-GB"/>
        </w:rPr>
        <w:t xml:space="preserve">even </w:t>
      </w:r>
      <w:r w:rsidR="00335B5D" w:rsidRPr="00336C11">
        <w:rPr>
          <w:sz w:val="22"/>
          <w:szCs w:val="22"/>
          <w:lang w:val="en-GB"/>
        </w:rPr>
        <w:t xml:space="preserve">residual </w:t>
      </w:r>
      <w:r w:rsidR="0094428F" w:rsidRPr="00336C11">
        <w:rPr>
          <w:sz w:val="22"/>
          <w:szCs w:val="22"/>
          <w:lang w:val="en-GB"/>
        </w:rPr>
        <w:t>control</w:t>
      </w:r>
      <w:r w:rsidR="00C11FF8" w:rsidRPr="00336C11">
        <w:rPr>
          <w:sz w:val="22"/>
          <w:szCs w:val="22"/>
          <w:lang w:val="en-GB"/>
        </w:rPr>
        <w:t xml:space="preserve"> </w:t>
      </w:r>
      <w:r w:rsidR="001A7E43" w:rsidRPr="00336C11">
        <w:rPr>
          <w:sz w:val="22"/>
          <w:szCs w:val="22"/>
          <w:lang w:val="en-GB"/>
        </w:rPr>
        <w:t xml:space="preserve">altogether, thereby </w:t>
      </w:r>
      <w:r w:rsidR="00DD1AD8" w:rsidRPr="00336C11">
        <w:rPr>
          <w:sz w:val="22"/>
          <w:szCs w:val="22"/>
          <w:lang w:val="en-GB"/>
        </w:rPr>
        <w:t>reinstat</w:t>
      </w:r>
      <w:r w:rsidR="001A7E43" w:rsidRPr="00336C11">
        <w:rPr>
          <w:sz w:val="22"/>
          <w:szCs w:val="22"/>
          <w:lang w:val="en-GB"/>
        </w:rPr>
        <w:t>ing</w:t>
      </w:r>
      <w:r w:rsidR="00DD1AD8" w:rsidRPr="00336C11">
        <w:rPr>
          <w:sz w:val="22"/>
          <w:szCs w:val="22"/>
          <w:lang w:val="en-GB"/>
        </w:rPr>
        <w:t xml:space="preserve"> unanimity</w:t>
      </w:r>
      <w:r w:rsidR="00111409" w:rsidRPr="00336C11">
        <w:rPr>
          <w:sz w:val="22"/>
          <w:szCs w:val="22"/>
          <w:lang w:val="en-GB"/>
        </w:rPr>
        <w:t>, as the rule governing intra-firm decision-making either</w:t>
      </w:r>
      <w:r w:rsidR="00BC3C95" w:rsidRPr="00336C11">
        <w:rPr>
          <w:sz w:val="22"/>
          <w:szCs w:val="22"/>
          <w:lang w:val="en-GB"/>
        </w:rPr>
        <w:t xml:space="preserve"> in general or </w:t>
      </w:r>
      <w:r w:rsidR="00111409" w:rsidRPr="00336C11">
        <w:rPr>
          <w:sz w:val="22"/>
          <w:szCs w:val="22"/>
          <w:lang w:val="en-GB"/>
        </w:rPr>
        <w:t xml:space="preserve">with regard to a given </w:t>
      </w:r>
      <w:r w:rsidR="00DB6400">
        <w:rPr>
          <w:sz w:val="22"/>
          <w:szCs w:val="22"/>
          <w:lang w:val="en-GB"/>
        </w:rPr>
        <w:t xml:space="preserve">list </w:t>
      </w:r>
      <w:r w:rsidR="00111409" w:rsidRPr="00336C11">
        <w:rPr>
          <w:sz w:val="22"/>
          <w:szCs w:val="22"/>
          <w:lang w:val="en-GB"/>
        </w:rPr>
        <w:t>of matters</w:t>
      </w:r>
      <w:r w:rsidR="00F9736F" w:rsidRPr="00336C11">
        <w:rPr>
          <w:sz w:val="22"/>
          <w:szCs w:val="22"/>
          <w:lang w:val="en-GB"/>
        </w:rPr>
        <w:t>.</w:t>
      </w:r>
      <w:r w:rsidR="0094428F" w:rsidRPr="00336C11">
        <w:rPr>
          <w:sz w:val="22"/>
          <w:szCs w:val="22"/>
          <w:lang w:val="en-GB"/>
        </w:rPr>
        <w:t xml:space="preserve"> </w:t>
      </w:r>
    </w:p>
    <w:p w14:paraId="614556D8" w14:textId="6ED0015B" w:rsidR="00950738" w:rsidRPr="00950738" w:rsidRDefault="00771536" w:rsidP="00771536">
      <w:pPr>
        <w:ind w:firstLine="567"/>
        <w:jc w:val="both"/>
        <w:rPr>
          <w:sz w:val="22"/>
          <w:szCs w:val="22"/>
          <w:lang w:val="en-GB"/>
        </w:rPr>
      </w:pPr>
      <w:r w:rsidRPr="00950738">
        <w:rPr>
          <w:sz w:val="22"/>
          <w:szCs w:val="22"/>
          <w:lang w:val="en-GB"/>
        </w:rPr>
        <w:t xml:space="preserve">These arrangements </w:t>
      </w:r>
      <w:r w:rsidR="002A2261">
        <w:rPr>
          <w:sz w:val="22"/>
          <w:szCs w:val="22"/>
          <w:lang w:val="en-GB"/>
        </w:rPr>
        <w:t xml:space="preserve">do </w:t>
      </w:r>
      <w:r>
        <w:rPr>
          <w:sz w:val="22"/>
          <w:szCs w:val="22"/>
          <w:lang w:val="en-GB"/>
        </w:rPr>
        <w:t xml:space="preserve">govern </w:t>
      </w:r>
      <w:r w:rsidRPr="00950738">
        <w:rPr>
          <w:sz w:val="22"/>
          <w:szCs w:val="22"/>
          <w:lang w:val="en-GB"/>
        </w:rPr>
        <w:t>50%-50% close firms</w:t>
      </w:r>
      <w:r w:rsidRPr="00771536">
        <w:rPr>
          <w:sz w:val="22"/>
          <w:szCs w:val="22"/>
          <w:lang w:val="en-GB"/>
        </w:rPr>
        <w:t xml:space="preserve"> </w:t>
      </w:r>
      <w:r>
        <w:rPr>
          <w:sz w:val="22"/>
          <w:szCs w:val="22"/>
          <w:lang w:val="en-GB"/>
        </w:rPr>
        <w:t xml:space="preserve">by default, but can be opted in </w:t>
      </w:r>
      <w:r w:rsidR="00DD1AD8" w:rsidRPr="00950738">
        <w:rPr>
          <w:sz w:val="22"/>
          <w:szCs w:val="22"/>
          <w:lang w:val="en-GB"/>
        </w:rPr>
        <w:t xml:space="preserve">in a </w:t>
      </w:r>
      <w:r>
        <w:rPr>
          <w:sz w:val="22"/>
          <w:szCs w:val="22"/>
          <w:lang w:val="en-GB"/>
        </w:rPr>
        <w:t xml:space="preserve">far broader </w:t>
      </w:r>
      <w:r w:rsidR="00DD1AD8" w:rsidRPr="00950738">
        <w:rPr>
          <w:sz w:val="22"/>
          <w:szCs w:val="22"/>
          <w:lang w:val="en-GB"/>
        </w:rPr>
        <w:t>variety of contexts</w:t>
      </w:r>
      <w:r>
        <w:rPr>
          <w:sz w:val="22"/>
          <w:szCs w:val="22"/>
          <w:lang w:val="en-GB"/>
        </w:rPr>
        <w:t>, even though sometimes they come in less straightforward forms</w:t>
      </w:r>
      <w:r w:rsidR="00950738" w:rsidRPr="00950738">
        <w:rPr>
          <w:sz w:val="22"/>
          <w:szCs w:val="22"/>
          <w:lang w:val="en-GB"/>
        </w:rPr>
        <w:t>.</w:t>
      </w:r>
      <w:r w:rsidR="00950738" w:rsidRPr="00950738">
        <w:rPr>
          <w:sz w:val="22"/>
          <w:szCs w:val="22"/>
          <w:lang w:val="en-US"/>
        </w:rPr>
        <w:t xml:space="preserve"> A shareholder with a shareholding incorporating a symbolic 1% of the cash flow-rights but enjoying “even” control-rights or anyhow having a myriad of private ordering-based protections granting him more or less diffusive and pervasive veto rights is – roughly speaking – in the same position as, or is </w:t>
      </w:r>
      <w:r w:rsidR="00950738" w:rsidRPr="00950738">
        <w:rPr>
          <w:i/>
          <w:sz w:val="22"/>
          <w:szCs w:val="22"/>
          <w:lang w:val="en-US"/>
        </w:rPr>
        <w:t>de facto</w:t>
      </w:r>
      <w:r w:rsidR="00950738" w:rsidRPr="00950738">
        <w:rPr>
          <w:sz w:val="22"/>
          <w:szCs w:val="22"/>
          <w:lang w:val="en-US"/>
        </w:rPr>
        <w:t xml:space="preserve"> next to be on an equal footing with, the formally controlling shareholder. Intuitively, the greater the extent that the corporate contract can unbundle control- and cash flow-rights, the greater, at least potentially, the variety of control-sharing arrangements that can contracting parties can envision and implement. Yet, even where unbundling techniques are limitedly implementable, few solutions generally tend to be available anyway, making control-sharing arrangements somehow accessible to prospective business partners in any event.</w:t>
      </w:r>
      <w:r w:rsidR="00167D33" w:rsidRPr="00950738">
        <w:rPr>
          <w:rStyle w:val="FootnoteReference"/>
          <w:rFonts w:ascii="Times New Roman" w:hAnsi="Times New Roman"/>
          <w:sz w:val="22"/>
          <w:szCs w:val="22"/>
          <w:lang w:val="en-GB"/>
        </w:rPr>
        <w:footnoteReference w:id="28"/>
      </w:r>
      <w:r w:rsidR="00DD1AD8" w:rsidRPr="00950738">
        <w:rPr>
          <w:sz w:val="22"/>
          <w:szCs w:val="22"/>
          <w:lang w:val="en-GB"/>
        </w:rPr>
        <w:t xml:space="preserve"> </w:t>
      </w:r>
    </w:p>
    <w:p w14:paraId="4F7A29DC" w14:textId="36D6352D" w:rsidR="00042F0E" w:rsidRPr="00497127" w:rsidRDefault="000A1263" w:rsidP="00497127">
      <w:pPr>
        <w:ind w:firstLine="567"/>
        <w:jc w:val="both"/>
        <w:rPr>
          <w:smallCaps/>
          <w:lang w:val="en-GB"/>
        </w:rPr>
      </w:pPr>
      <w:bookmarkStart w:id="22" w:name="_Toc66125104"/>
      <w:r>
        <w:rPr>
          <w:iCs/>
          <w:sz w:val="22"/>
          <w:szCs w:val="22"/>
          <w:lang w:val="en-GB"/>
        </w:rPr>
        <w:lastRenderedPageBreak/>
        <w:t xml:space="preserve">In any event, </w:t>
      </w:r>
      <w:bookmarkEnd w:id="22"/>
      <w:r w:rsidRPr="00497127">
        <w:rPr>
          <w:iCs/>
          <w:sz w:val="22"/>
          <w:szCs w:val="22"/>
          <w:lang w:val="en-GB"/>
        </w:rPr>
        <w:t>c</w:t>
      </w:r>
      <w:r w:rsidR="00042F0E" w:rsidRPr="00497127">
        <w:rPr>
          <w:sz w:val="22"/>
          <w:szCs w:val="22"/>
          <w:lang w:val="en-GB"/>
        </w:rPr>
        <w:t>ontrol-sharing arrangements call for unanimity, which</w:t>
      </w:r>
      <w:r>
        <w:rPr>
          <w:sz w:val="22"/>
          <w:szCs w:val="22"/>
          <w:lang w:val="en-GB"/>
        </w:rPr>
        <w:t xml:space="preserve"> </w:t>
      </w:r>
      <w:r w:rsidR="00042F0E" w:rsidRPr="00497127">
        <w:rPr>
          <w:sz w:val="22"/>
          <w:szCs w:val="22"/>
          <w:lang w:val="en-GB"/>
        </w:rPr>
        <w:t>may occasionally prove hard to emerge</w:t>
      </w:r>
      <w:r>
        <w:rPr>
          <w:sz w:val="22"/>
          <w:szCs w:val="22"/>
          <w:lang w:val="en-GB"/>
        </w:rPr>
        <w:t>, though</w:t>
      </w:r>
      <w:r w:rsidR="00042F0E" w:rsidRPr="00497127">
        <w:rPr>
          <w:sz w:val="22"/>
          <w:szCs w:val="22"/>
          <w:lang w:val="en-GB"/>
        </w:rPr>
        <w:t>. Shareholders of a close firm may overall go along quite well, but, due to natural differences in personality, education, ideas, shareholders, they may sometimes have a hard time coming to an agreement on a given business policy.</w:t>
      </w:r>
      <w:r w:rsidR="00042F0E" w:rsidRPr="00336C11">
        <w:rPr>
          <w:rStyle w:val="FootnoteReference"/>
          <w:rFonts w:ascii="Times New Roman" w:hAnsi="Times New Roman"/>
          <w:sz w:val="22"/>
          <w:szCs w:val="22"/>
          <w:lang w:val="en-GB"/>
        </w:rPr>
        <w:footnoteReference w:id="29"/>
      </w:r>
      <w:r w:rsidR="00042F0E" w:rsidRPr="00497127">
        <w:rPr>
          <w:sz w:val="22"/>
          <w:szCs w:val="22"/>
          <w:lang w:val="en-GB"/>
        </w:rPr>
        <w:t xml:space="preserve"> </w:t>
      </w:r>
      <w:r w:rsidR="002A2261">
        <w:rPr>
          <w:sz w:val="22"/>
          <w:szCs w:val="22"/>
          <w:lang w:val="en-GB"/>
        </w:rPr>
        <w:t>T</w:t>
      </w:r>
      <w:r w:rsidR="00042F0E" w:rsidRPr="00497127">
        <w:rPr>
          <w:sz w:val="22"/>
          <w:szCs w:val="22"/>
          <w:lang w:val="en-GB"/>
        </w:rPr>
        <w:t xml:space="preserve">his disagreement can come in the form of a temporarily tolerable dissension, </w:t>
      </w:r>
      <w:r w:rsidR="002A2261">
        <w:rPr>
          <w:sz w:val="22"/>
          <w:szCs w:val="22"/>
          <w:lang w:val="en-GB"/>
        </w:rPr>
        <w:t xml:space="preserve">but </w:t>
      </w:r>
      <w:r w:rsidR="00042F0E" w:rsidRPr="00497127">
        <w:rPr>
          <w:sz w:val="22"/>
          <w:szCs w:val="22"/>
          <w:lang w:val="en-GB"/>
        </w:rPr>
        <w:t xml:space="preserve">it may also persist for a relatively longer time and ultimately lead to so-called “shareholder deadlocks”. </w:t>
      </w:r>
    </w:p>
    <w:p w14:paraId="3C33F41E" w14:textId="7E42F779" w:rsidR="00950738" w:rsidRPr="00950738" w:rsidRDefault="003441FD" w:rsidP="00950738">
      <w:pPr>
        <w:pStyle w:val="Heading2"/>
        <w:numPr>
          <w:ilvl w:val="1"/>
          <w:numId w:val="28"/>
        </w:numPr>
        <w:spacing w:before="480"/>
        <w:ind w:left="567" w:hanging="567"/>
        <w:rPr>
          <w:iCs/>
          <w:sz w:val="22"/>
          <w:szCs w:val="22"/>
          <w:lang w:val="en-GB"/>
        </w:rPr>
      </w:pPr>
      <w:bookmarkStart w:id="23" w:name="_Toc66125105"/>
      <w:bookmarkStart w:id="24" w:name="_Toc67392669"/>
      <w:r>
        <w:rPr>
          <w:sz w:val="22"/>
          <w:szCs w:val="22"/>
          <w:lang w:val="en-GB"/>
        </w:rPr>
        <w:t xml:space="preserve">Shareholder Deadlocks </w:t>
      </w:r>
      <w:r w:rsidR="00950738">
        <w:rPr>
          <w:sz w:val="22"/>
          <w:szCs w:val="22"/>
          <w:lang w:val="en-GB"/>
        </w:rPr>
        <w:t>Value-destruction</w:t>
      </w:r>
      <w:bookmarkEnd w:id="23"/>
      <w:r w:rsidR="002A2261">
        <w:rPr>
          <w:sz w:val="22"/>
          <w:szCs w:val="22"/>
          <w:lang w:val="en-GB"/>
        </w:rPr>
        <w:t xml:space="preserve"> and Buyouts</w:t>
      </w:r>
      <w:bookmarkEnd w:id="24"/>
    </w:p>
    <w:p w14:paraId="05357162" w14:textId="03763F0F" w:rsidR="00930B58" w:rsidRPr="00336C11" w:rsidRDefault="00950738" w:rsidP="00734828">
      <w:pPr>
        <w:ind w:firstLine="567"/>
        <w:jc w:val="both"/>
        <w:rPr>
          <w:sz w:val="22"/>
          <w:szCs w:val="22"/>
          <w:lang w:val="en-GB"/>
        </w:rPr>
      </w:pPr>
      <w:r>
        <w:rPr>
          <w:sz w:val="22"/>
          <w:szCs w:val="22"/>
          <w:lang w:val="en-GB"/>
        </w:rPr>
        <w:t xml:space="preserve">Shareholder </w:t>
      </w:r>
      <w:r w:rsidR="002A2261">
        <w:rPr>
          <w:sz w:val="22"/>
          <w:szCs w:val="22"/>
          <w:lang w:val="en-GB"/>
        </w:rPr>
        <w:t>d</w:t>
      </w:r>
      <w:r w:rsidR="009A1BC1">
        <w:rPr>
          <w:sz w:val="22"/>
          <w:szCs w:val="22"/>
          <w:lang w:val="en-GB"/>
        </w:rPr>
        <w:t xml:space="preserve">eadlocks </w:t>
      </w:r>
      <w:r>
        <w:rPr>
          <w:sz w:val="22"/>
          <w:szCs w:val="22"/>
          <w:lang w:val="en-GB"/>
        </w:rPr>
        <w:t>are a</w:t>
      </w:r>
      <w:r w:rsidR="003F76AF" w:rsidRPr="00336C11">
        <w:rPr>
          <w:sz w:val="22"/>
          <w:szCs w:val="22"/>
          <w:lang w:val="en-GB"/>
        </w:rPr>
        <w:t xml:space="preserve">n unfortunate state of affairs </w:t>
      </w:r>
      <w:r w:rsidR="006B0BCA" w:rsidRPr="00336C11">
        <w:rPr>
          <w:sz w:val="22"/>
          <w:szCs w:val="22"/>
          <w:lang w:val="en-GB"/>
        </w:rPr>
        <w:t>in which shareholders</w:t>
      </w:r>
      <w:r w:rsidR="00C86B1D" w:rsidRPr="00336C11">
        <w:rPr>
          <w:sz w:val="22"/>
          <w:szCs w:val="22"/>
          <w:lang w:val="en-GB"/>
        </w:rPr>
        <w:t xml:space="preserve"> </w:t>
      </w:r>
      <w:r w:rsidR="006B0BCA" w:rsidRPr="00336C11">
        <w:rPr>
          <w:sz w:val="22"/>
          <w:szCs w:val="22"/>
          <w:lang w:val="en-GB"/>
        </w:rPr>
        <w:t>have conflicting views over the firm’s best course of actions</w:t>
      </w:r>
      <w:r w:rsidR="003F76AF" w:rsidRPr="00336C11">
        <w:rPr>
          <w:sz w:val="22"/>
          <w:szCs w:val="22"/>
          <w:lang w:val="en-GB"/>
        </w:rPr>
        <w:t xml:space="preserve">, </w:t>
      </w:r>
      <w:r w:rsidR="00C86B1D" w:rsidRPr="00336C11">
        <w:rPr>
          <w:sz w:val="22"/>
          <w:szCs w:val="22"/>
          <w:lang w:val="en-GB"/>
        </w:rPr>
        <w:t>caus</w:t>
      </w:r>
      <w:r w:rsidR="003F76AF" w:rsidRPr="00336C11">
        <w:rPr>
          <w:sz w:val="22"/>
          <w:szCs w:val="22"/>
          <w:lang w:val="en-GB"/>
        </w:rPr>
        <w:t>ing</w:t>
      </w:r>
      <w:r w:rsidR="00C86B1D" w:rsidRPr="00336C11">
        <w:rPr>
          <w:sz w:val="22"/>
          <w:szCs w:val="22"/>
          <w:lang w:val="en-GB"/>
        </w:rPr>
        <w:t xml:space="preserve"> </w:t>
      </w:r>
      <w:r w:rsidR="00A866E3" w:rsidRPr="00336C11">
        <w:rPr>
          <w:sz w:val="22"/>
          <w:szCs w:val="22"/>
          <w:lang w:val="en-GB"/>
        </w:rPr>
        <w:t>a paralysis</w:t>
      </w:r>
      <w:r w:rsidR="00DB2915" w:rsidRPr="00336C11">
        <w:rPr>
          <w:sz w:val="22"/>
          <w:szCs w:val="22"/>
          <w:lang w:val="en-GB"/>
        </w:rPr>
        <w:t xml:space="preserve"> </w:t>
      </w:r>
      <w:r w:rsidR="000C6B09" w:rsidRPr="00336C11">
        <w:rPr>
          <w:sz w:val="22"/>
          <w:szCs w:val="22"/>
          <w:lang w:val="en-GB"/>
        </w:rPr>
        <w:t xml:space="preserve">the </w:t>
      </w:r>
      <w:r w:rsidR="0097609E">
        <w:rPr>
          <w:sz w:val="22"/>
          <w:szCs w:val="22"/>
          <w:lang w:val="en-GB"/>
        </w:rPr>
        <w:t>firm’s “operating system”</w:t>
      </w:r>
      <w:r w:rsidR="00DB2915" w:rsidRPr="00336C11">
        <w:rPr>
          <w:sz w:val="22"/>
          <w:szCs w:val="22"/>
          <w:lang w:val="en-GB"/>
        </w:rPr>
        <w:t>.</w:t>
      </w:r>
      <w:r w:rsidR="00167D33" w:rsidRPr="00336C11">
        <w:rPr>
          <w:rStyle w:val="FootnoteReference"/>
          <w:rFonts w:ascii="Times New Roman" w:hAnsi="Times New Roman"/>
          <w:sz w:val="22"/>
          <w:szCs w:val="22"/>
          <w:lang w:val="en-GB"/>
        </w:rPr>
        <w:footnoteReference w:id="30"/>
      </w:r>
      <w:r w:rsidR="000C6B09" w:rsidRPr="00336C11">
        <w:rPr>
          <w:sz w:val="22"/>
          <w:szCs w:val="22"/>
          <w:lang w:val="en-GB"/>
        </w:rPr>
        <w:t xml:space="preserve"> </w:t>
      </w:r>
    </w:p>
    <w:p w14:paraId="2843414F" w14:textId="2CAB395C" w:rsidR="00FA699B" w:rsidRPr="00336C11" w:rsidRDefault="00111409" w:rsidP="006A00BB">
      <w:pPr>
        <w:ind w:firstLine="567"/>
        <w:jc w:val="both"/>
        <w:rPr>
          <w:sz w:val="22"/>
          <w:szCs w:val="22"/>
          <w:lang w:val="en-GB"/>
        </w:rPr>
      </w:pPr>
      <w:r w:rsidRPr="00336C11">
        <w:rPr>
          <w:sz w:val="22"/>
          <w:szCs w:val="22"/>
          <w:lang w:val="en-GB"/>
        </w:rPr>
        <w:t xml:space="preserve">Such </w:t>
      </w:r>
      <w:r w:rsidR="009A1BC1">
        <w:rPr>
          <w:sz w:val="22"/>
          <w:szCs w:val="22"/>
          <w:lang w:val="en-GB"/>
        </w:rPr>
        <w:t xml:space="preserve">sort of </w:t>
      </w:r>
      <w:r w:rsidRPr="00336C11">
        <w:rPr>
          <w:i/>
          <w:iCs/>
          <w:sz w:val="22"/>
          <w:szCs w:val="22"/>
          <w:lang w:val="en-GB"/>
        </w:rPr>
        <w:t>impasse</w:t>
      </w:r>
      <w:r w:rsidRPr="00336C11">
        <w:rPr>
          <w:sz w:val="22"/>
          <w:szCs w:val="22"/>
          <w:lang w:val="en-GB"/>
        </w:rPr>
        <w:t xml:space="preserve"> </w:t>
      </w:r>
      <w:r w:rsidR="009A1BC1">
        <w:rPr>
          <w:sz w:val="22"/>
          <w:szCs w:val="22"/>
          <w:lang w:val="en-GB"/>
        </w:rPr>
        <w:t xml:space="preserve">is </w:t>
      </w:r>
      <w:r w:rsidR="00D33A31" w:rsidRPr="00336C11">
        <w:rPr>
          <w:sz w:val="22"/>
          <w:szCs w:val="22"/>
          <w:lang w:val="en-GB"/>
        </w:rPr>
        <w:t>problematic in that</w:t>
      </w:r>
      <w:r w:rsidR="00A40153" w:rsidRPr="00336C11">
        <w:rPr>
          <w:sz w:val="22"/>
          <w:szCs w:val="22"/>
          <w:lang w:val="en-GB"/>
        </w:rPr>
        <w:t xml:space="preserve"> </w:t>
      </w:r>
      <w:r w:rsidR="00950738">
        <w:rPr>
          <w:sz w:val="22"/>
          <w:szCs w:val="22"/>
          <w:lang w:val="en-GB"/>
        </w:rPr>
        <w:t xml:space="preserve">it </w:t>
      </w:r>
      <w:r w:rsidR="00A40153" w:rsidRPr="00336C11">
        <w:rPr>
          <w:sz w:val="22"/>
          <w:szCs w:val="22"/>
          <w:lang w:val="en-GB"/>
        </w:rPr>
        <w:t xml:space="preserve">may </w:t>
      </w:r>
      <w:r w:rsidR="00734828" w:rsidRPr="00336C11">
        <w:rPr>
          <w:sz w:val="22"/>
          <w:szCs w:val="22"/>
          <w:lang w:val="en-GB"/>
        </w:rPr>
        <w:t xml:space="preserve">render unavoidable </w:t>
      </w:r>
      <w:r w:rsidR="00FB78DF" w:rsidRPr="00336C11">
        <w:rPr>
          <w:sz w:val="22"/>
          <w:szCs w:val="22"/>
          <w:lang w:val="en-GB"/>
        </w:rPr>
        <w:t xml:space="preserve">decisions that may destroy a more or less significant fraction of </w:t>
      </w:r>
      <w:r w:rsidR="00A40153" w:rsidRPr="00336C11">
        <w:rPr>
          <w:sz w:val="22"/>
          <w:szCs w:val="22"/>
          <w:lang w:val="en-GB"/>
        </w:rPr>
        <w:t>firm value.</w:t>
      </w:r>
      <w:r w:rsidR="00D33A31" w:rsidRPr="00336C11">
        <w:rPr>
          <w:sz w:val="22"/>
          <w:szCs w:val="22"/>
          <w:lang w:val="en-GB"/>
        </w:rPr>
        <w:t xml:space="preserve"> </w:t>
      </w:r>
      <w:r w:rsidR="00BF3C2D">
        <w:rPr>
          <w:sz w:val="22"/>
          <w:szCs w:val="22"/>
          <w:lang w:val="en-GB"/>
        </w:rPr>
        <w:t>T</w:t>
      </w:r>
      <w:r w:rsidR="00EC0196" w:rsidRPr="00336C11">
        <w:rPr>
          <w:sz w:val="22"/>
          <w:szCs w:val="22"/>
          <w:lang w:val="en-GB"/>
        </w:rPr>
        <w:t xml:space="preserve">he deadlocked shareholders </w:t>
      </w:r>
      <w:r w:rsidR="00C73A88" w:rsidRPr="00336C11">
        <w:rPr>
          <w:bCs/>
          <w:iCs/>
          <w:sz w:val="22"/>
          <w:szCs w:val="22"/>
          <w:lang w:val="en-GB"/>
        </w:rPr>
        <w:t xml:space="preserve">may </w:t>
      </w:r>
      <w:r w:rsidR="00EC0196" w:rsidRPr="00336C11">
        <w:rPr>
          <w:bCs/>
          <w:iCs/>
          <w:sz w:val="22"/>
          <w:szCs w:val="22"/>
          <w:lang w:val="en-GB"/>
        </w:rPr>
        <w:t xml:space="preserve">be </w:t>
      </w:r>
      <w:r w:rsidR="009A1BC1">
        <w:rPr>
          <w:bCs/>
          <w:iCs/>
          <w:sz w:val="22"/>
          <w:szCs w:val="22"/>
          <w:lang w:val="en-GB"/>
        </w:rPr>
        <w:t xml:space="preserve">suddenly </w:t>
      </w:r>
      <w:r w:rsidR="00EC0196" w:rsidRPr="00336C11">
        <w:rPr>
          <w:bCs/>
          <w:iCs/>
          <w:sz w:val="22"/>
          <w:szCs w:val="22"/>
          <w:lang w:val="en-GB"/>
        </w:rPr>
        <w:t xml:space="preserve">compelled to realize </w:t>
      </w:r>
      <w:r w:rsidR="00F3462F" w:rsidRPr="00336C11">
        <w:rPr>
          <w:bCs/>
          <w:iCs/>
          <w:sz w:val="22"/>
          <w:szCs w:val="22"/>
          <w:lang w:val="en-GB"/>
        </w:rPr>
        <w:t xml:space="preserve">the </w:t>
      </w:r>
      <w:r w:rsidR="00EC0196" w:rsidRPr="00336C11">
        <w:rPr>
          <w:bCs/>
          <w:iCs/>
          <w:sz w:val="22"/>
          <w:szCs w:val="22"/>
          <w:lang w:val="en-GB"/>
        </w:rPr>
        <w:t xml:space="preserve">value </w:t>
      </w:r>
      <w:r w:rsidR="00F3462F" w:rsidRPr="00336C11">
        <w:rPr>
          <w:bCs/>
          <w:iCs/>
          <w:sz w:val="22"/>
          <w:szCs w:val="22"/>
          <w:lang w:val="en-GB"/>
        </w:rPr>
        <w:t xml:space="preserve">of the now unmanageable firm </w:t>
      </w:r>
      <w:r w:rsidR="00EC0196" w:rsidRPr="00336C11">
        <w:rPr>
          <w:bCs/>
          <w:iCs/>
          <w:sz w:val="22"/>
          <w:szCs w:val="22"/>
          <w:lang w:val="en-GB"/>
        </w:rPr>
        <w:t xml:space="preserve">on </w:t>
      </w:r>
      <w:r w:rsidR="002A64BC" w:rsidRPr="00336C11">
        <w:rPr>
          <w:bCs/>
          <w:iCs/>
          <w:sz w:val="22"/>
          <w:szCs w:val="22"/>
          <w:lang w:val="en-GB"/>
        </w:rPr>
        <w:t xml:space="preserve">the </w:t>
      </w:r>
      <w:r w:rsidR="00AD17CD" w:rsidRPr="00336C11">
        <w:rPr>
          <w:bCs/>
          <w:iCs/>
          <w:sz w:val="22"/>
          <w:szCs w:val="22"/>
          <w:lang w:val="en-GB"/>
        </w:rPr>
        <w:t>M&amp;A</w:t>
      </w:r>
      <w:r w:rsidR="002A64BC" w:rsidRPr="00336C11">
        <w:rPr>
          <w:bCs/>
          <w:iCs/>
          <w:sz w:val="22"/>
          <w:szCs w:val="22"/>
          <w:lang w:val="en-GB"/>
        </w:rPr>
        <w:t xml:space="preserve"> market</w:t>
      </w:r>
      <w:r w:rsidR="00FA699B" w:rsidRPr="00336C11">
        <w:rPr>
          <w:sz w:val="22"/>
          <w:szCs w:val="22"/>
          <w:lang w:val="en-GB"/>
        </w:rPr>
        <w:t>.</w:t>
      </w:r>
      <w:r w:rsidR="002A64BC" w:rsidRPr="00336C11">
        <w:rPr>
          <w:sz w:val="22"/>
          <w:szCs w:val="22"/>
          <w:lang w:val="en-GB"/>
        </w:rPr>
        <w:t xml:space="preserve"> </w:t>
      </w:r>
      <w:r w:rsidR="00BF3C2D">
        <w:rPr>
          <w:sz w:val="22"/>
          <w:szCs w:val="22"/>
          <w:lang w:val="en-GB"/>
        </w:rPr>
        <w:t>Yet, s</w:t>
      </w:r>
      <w:r w:rsidR="00F3462F" w:rsidRPr="00336C11">
        <w:rPr>
          <w:sz w:val="22"/>
          <w:szCs w:val="22"/>
          <w:lang w:val="en-GB"/>
        </w:rPr>
        <w:t xml:space="preserve">elling a deadlocked firm </w:t>
      </w:r>
      <w:r w:rsidR="00F1699E" w:rsidRPr="00336C11">
        <w:rPr>
          <w:sz w:val="22"/>
          <w:szCs w:val="22"/>
          <w:lang w:val="en-GB"/>
        </w:rPr>
        <w:t>require</w:t>
      </w:r>
      <w:r w:rsidR="00F3462F" w:rsidRPr="00336C11">
        <w:rPr>
          <w:sz w:val="22"/>
          <w:szCs w:val="22"/>
          <w:lang w:val="en-GB"/>
        </w:rPr>
        <w:t>s acting fast</w:t>
      </w:r>
      <w:r w:rsidR="00BF3C2D">
        <w:rPr>
          <w:sz w:val="22"/>
          <w:szCs w:val="22"/>
          <w:lang w:val="en-GB"/>
        </w:rPr>
        <w:t xml:space="preserve"> </w:t>
      </w:r>
      <w:r w:rsidR="00F3462F" w:rsidRPr="00336C11">
        <w:rPr>
          <w:sz w:val="22"/>
          <w:szCs w:val="22"/>
          <w:lang w:val="en-GB"/>
        </w:rPr>
        <w:t xml:space="preserve">to avoid decreases in value, </w:t>
      </w:r>
      <w:r w:rsidR="00BF3C2D">
        <w:rPr>
          <w:sz w:val="22"/>
          <w:szCs w:val="22"/>
          <w:lang w:val="en-GB"/>
        </w:rPr>
        <w:t xml:space="preserve">which </w:t>
      </w:r>
      <w:r w:rsidR="00F3462F" w:rsidRPr="00336C11">
        <w:rPr>
          <w:sz w:val="22"/>
          <w:szCs w:val="22"/>
          <w:lang w:val="en-GB"/>
        </w:rPr>
        <w:t>may compel the deadlocked shareholder to consummate the</w:t>
      </w:r>
      <w:r w:rsidR="003539AE" w:rsidRPr="00336C11">
        <w:rPr>
          <w:sz w:val="22"/>
          <w:szCs w:val="22"/>
          <w:lang w:val="en-GB"/>
        </w:rPr>
        <w:t xml:space="preserve"> </w:t>
      </w:r>
      <w:r w:rsidR="00F3462F" w:rsidRPr="00336C11">
        <w:rPr>
          <w:sz w:val="22"/>
          <w:szCs w:val="22"/>
          <w:lang w:val="en-GB"/>
        </w:rPr>
        <w:t xml:space="preserve">transaction </w:t>
      </w:r>
      <w:r w:rsidR="003539AE" w:rsidRPr="00336C11">
        <w:rPr>
          <w:sz w:val="22"/>
          <w:szCs w:val="22"/>
          <w:lang w:val="en-GB"/>
        </w:rPr>
        <w:t>in a</w:t>
      </w:r>
      <w:r w:rsidR="00F1699E" w:rsidRPr="00336C11">
        <w:rPr>
          <w:sz w:val="22"/>
          <w:szCs w:val="22"/>
          <w:lang w:val="en-GB"/>
        </w:rPr>
        <w:t xml:space="preserve"> temporarily</w:t>
      </w:r>
      <w:r w:rsidR="003539AE" w:rsidRPr="00336C11">
        <w:rPr>
          <w:sz w:val="22"/>
          <w:szCs w:val="22"/>
          <w:lang w:val="en-GB"/>
        </w:rPr>
        <w:t xml:space="preserve"> unfavourable M&amp;A market environment</w:t>
      </w:r>
      <w:r w:rsidR="00F1699E" w:rsidRPr="00336C11">
        <w:rPr>
          <w:sz w:val="22"/>
          <w:szCs w:val="22"/>
          <w:lang w:val="en-GB"/>
        </w:rPr>
        <w:t xml:space="preserve">. Under such circumstances, </w:t>
      </w:r>
      <w:r w:rsidR="00A255D7" w:rsidRPr="00336C11">
        <w:rPr>
          <w:sz w:val="22"/>
          <w:szCs w:val="22"/>
          <w:lang w:val="en-GB"/>
        </w:rPr>
        <w:t xml:space="preserve">the firm may </w:t>
      </w:r>
      <w:r w:rsidR="003539AE" w:rsidRPr="00336C11">
        <w:rPr>
          <w:sz w:val="22"/>
          <w:szCs w:val="22"/>
          <w:lang w:val="en-GB"/>
        </w:rPr>
        <w:t xml:space="preserve">go sold </w:t>
      </w:r>
      <w:r w:rsidR="00A255D7" w:rsidRPr="00336C11">
        <w:rPr>
          <w:sz w:val="22"/>
          <w:szCs w:val="22"/>
          <w:lang w:val="en-GB"/>
        </w:rPr>
        <w:t xml:space="preserve">for less than </w:t>
      </w:r>
      <w:r w:rsidR="00C932FD" w:rsidRPr="00336C11">
        <w:rPr>
          <w:sz w:val="22"/>
          <w:szCs w:val="22"/>
          <w:lang w:val="en-GB"/>
        </w:rPr>
        <w:t>what it is worth</w:t>
      </w:r>
      <w:r w:rsidR="00210B74" w:rsidRPr="00336C11">
        <w:rPr>
          <w:sz w:val="22"/>
          <w:szCs w:val="22"/>
          <w:lang w:val="en-GB"/>
        </w:rPr>
        <w:t>, causing again some v</w:t>
      </w:r>
      <w:r w:rsidR="00A255D7" w:rsidRPr="00336C11">
        <w:rPr>
          <w:sz w:val="22"/>
          <w:szCs w:val="22"/>
          <w:lang w:val="en-GB"/>
        </w:rPr>
        <w:t>alue-destruction.</w:t>
      </w:r>
      <w:r w:rsidR="00210B74" w:rsidRPr="00336C11">
        <w:rPr>
          <w:rStyle w:val="FootnoteReference"/>
          <w:rFonts w:ascii="Times New Roman" w:hAnsi="Times New Roman"/>
          <w:sz w:val="22"/>
          <w:szCs w:val="22"/>
          <w:lang w:val="en-GB"/>
        </w:rPr>
        <w:footnoteReference w:id="31"/>
      </w:r>
      <w:r w:rsidR="0067699C" w:rsidRPr="00336C11">
        <w:rPr>
          <w:sz w:val="22"/>
          <w:szCs w:val="22"/>
          <w:lang w:val="en-GB"/>
        </w:rPr>
        <w:t xml:space="preserve"> </w:t>
      </w:r>
      <w:r w:rsidR="00BF3C2D">
        <w:rPr>
          <w:sz w:val="22"/>
          <w:szCs w:val="22"/>
          <w:lang w:val="en-GB"/>
        </w:rPr>
        <w:t>Besides,</w:t>
      </w:r>
      <w:r w:rsidR="00C73A88" w:rsidRPr="00336C11">
        <w:rPr>
          <w:sz w:val="22"/>
          <w:szCs w:val="22"/>
          <w:lang w:val="en-GB"/>
        </w:rPr>
        <w:t xml:space="preserve"> </w:t>
      </w:r>
      <w:r w:rsidR="00F3462F" w:rsidRPr="00336C11">
        <w:rPr>
          <w:sz w:val="22"/>
          <w:szCs w:val="22"/>
          <w:lang w:val="en-GB"/>
        </w:rPr>
        <w:t xml:space="preserve">particularly </w:t>
      </w:r>
      <w:r w:rsidR="00B96334">
        <w:rPr>
          <w:sz w:val="22"/>
          <w:szCs w:val="22"/>
          <w:lang w:val="en-GB"/>
        </w:rPr>
        <w:t xml:space="preserve">when </w:t>
      </w:r>
      <w:r w:rsidR="00F3462F" w:rsidRPr="00336C11">
        <w:rPr>
          <w:sz w:val="22"/>
          <w:szCs w:val="22"/>
          <w:lang w:val="en-GB"/>
        </w:rPr>
        <w:t>no prospective acquirer for the deadlocked firm</w:t>
      </w:r>
      <w:r w:rsidR="00BF3C2D">
        <w:rPr>
          <w:sz w:val="22"/>
          <w:szCs w:val="22"/>
          <w:lang w:val="en-GB"/>
        </w:rPr>
        <w:t xml:space="preserve"> pops up</w:t>
      </w:r>
      <w:r w:rsidR="00F3462F" w:rsidRPr="00336C11">
        <w:rPr>
          <w:sz w:val="22"/>
          <w:szCs w:val="22"/>
          <w:lang w:val="en-GB"/>
        </w:rPr>
        <w:t xml:space="preserve">, </w:t>
      </w:r>
      <w:r w:rsidR="00BF3C2D">
        <w:rPr>
          <w:sz w:val="22"/>
          <w:szCs w:val="22"/>
          <w:lang w:val="en-GB"/>
        </w:rPr>
        <w:t xml:space="preserve">the </w:t>
      </w:r>
      <w:r w:rsidR="00C73A88" w:rsidRPr="00336C11">
        <w:rPr>
          <w:sz w:val="22"/>
          <w:szCs w:val="22"/>
          <w:lang w:val="en-GB"/>
        </w:rPr>
        <w:t xml:space="preserve">deadlocked shareholders </w:t>
      </w:r>
      <w:r w:rsidR="00B96334">
        <w:rPr>
          <w:sz w:val="22"/>
          <w:szCs w:val="22"/>
          <w:lang w:val="en-GB"/>
        </w:rPr>
        <w:t xml:space="preserve">may </w:t>
      </w:r>
      <w:r w:rsidR="00C73A88" w:rsidRPr="00336C11">
        <w:rPr>
          <w:sz w:val="22"/>
          <w:szCs w:val="22"/>
          <w:lang w:val="en-GB"/>
        </w:rPr>
        <w:t xml:space="preserve">have no option other that dissolve </w:t>
      </w:r>
      <w:r w:rsidR="00F3462F" w:rsidRPr="00336C11">
        <w:rPr>
          <w:sz w:val="22"/>
          <w:szCs w:val="22"/>
          <w:lang w:val="en-GB"/>
        </w:rPr>
        <w:t xml:space="preserve">it </w:t>
      </w:r>
      <w:r w:rsidR="00C73A88" w:rsidRPr="00336C11">
        <w:rPr>
          <w:sz w:val="22"/>
          <w:szCs w:val="22"/>
          <w:lang w:val="en-GB"/>
        </w:rPr>
        <w:t xml:space="preserve">and carry out a piecemeal liquidation. </w:t>
      </w:r>
      <w:r w:rsidR="00C73A88" w:rsidRPr="00336C11">
        <w:rPr>
          <w:bCs/>
          <w:iCs/>
          <w:sz w:val="22"/>
          <w:szCs w:val="22"/>
          <w:lang w:val="en-GB"/>
        </w:rPr>
        <w:t>Even assuming that each and every asset were to be sold for a fair price</w:t>
      </w:r>
      <w:r w:rsidR="00BF3C2D">
        <w:rPr>
          <w:bCs/>
          <w:iCs/>
          <w:sz w:val="22"/>
          <w:szCs w:val="22"/>
          <w:lang w:val="en-GB"/>
        </w:rPr>
        <w:t>,</w:t>
      </w:r>
      <w:r w:rsidR="00F3462F" w:rsidRPr="00336C11">
        <w:rPr>
          <w:bCs/>
          <w:iCs/>
          <w:sz w:val="22"/>
          <w:szCs w:val="22"/>
          <w:lang w:val="en-GB"/>
        </w:rPr>
        <w:t xml:space="preserve"> </w:t>
      </w:r>
      <w:r w:rsidR="00C73A88" w:rsidRPr="00336C11">
        <w:rPr>
          <w:bCs/>
          <w:iCs/>
          <w:sz w:val="22"/>
          <w:szCs w:val="22"/>
          <w:lang w:val="en-GB"/>
        </w:rPr>
        <w:t>the value embedded in the organizational bonds tying together the firm’s productive inputs would nonetheless go destroyed.</w:t>
      </w:r>
      <w:r w:rsidR="00C73A88" w:rsidRPr="00336C11">
        <w:rPr>
          <w:rStyle w:val="FootnoteReference"/>
          <w:rFonts w:ascii="Times New Roman" w:hAnsi="Times New Roman"/>
          <w:bCs/>
          <w:iCs/>
          <w:sz w:val="22"/>
          <w:szCs w:val="22"/>
          <w:lang w:val="en-GB"/>
        </w:rPr>
        <w:footnoteReference w:id="32"/>
      </w:r>
    </w:p>
    <w:p w14:paraId="6420C75B" w14:textId="57BC26BE" w:rsidR="009A1BC1" w:rsidRDefault="00734828" w:rsidP="00497127">
      <w:pPr>
        <w:ind w:firstLine="567"/>
        <w:jc w:val="both"/>
        <w:rPr>
          <w:sz w:val="22"/>
          <w:szCs w:val="22"/>
          <w:lang w:val="en-GB"/>
        </w:rPr>
      </w:pPr>
      <w:r w:rsidRPr="00336C11">
        <w:rPr>
          <w:sz w:val="22"/>
          <w:szCs w:val="22"/>
          <w:lang w:val="en-GB"/>
        </w:rPr>
        <w:t xml:space="preserve">At a closer look, however, </w:t>
      </w:r>
      <w:r w:rsidR="00F3462F" w:rsidRPr="00336C11">
        <w:rPr>
          <w:sz w:val="22"/>
          <w:szCs w:val="22"/>
          <w:lang w:val="en-GB"/>
        </w:rPr>
        <w:t xml:space="preserve">shareholders </w:t>
      </w:r>
      <w:r w:rsidR="00F56CBE" w:rsidRPr="00336C11">
        <w:rPr>
          <w:sz w:val="22"/>
          <w:szCs w:val="22"/>
          <w:lang w:val="en-GB"/>
        </w:rPr>
        <w:t>deadlocks</w:t>
      </w:r>
      <w:r w:rsidR="00F3462F" w:rsidRPr="00336C11">
        <w:rPr>
          <w:sz w:val="22"/>
          <w:szCs w:val="22"/>
          <w:lang w:val="en-GB"/>
        </w:rPr>
        <w:t xml:space="preserve"> </w:t>
      </w:r>
      <w:r w:rsidR="00F56CBE" w:rsidRPr="00336C11">
        <w:rPr>
          <w:sz w:val="22"/>
          <w:szCs w:val="22"/>
          <w:lang w:val="en-GB"/>
        </w:rPr>
        <w:t>are</w:t>
      </w:r>
      <w:r w:rsidR="007C7D3D" w:rsidRPr="00336C11">
        <w:rPr>
          <w:sz w:val="22"/>
          <w:szCs w:val="22"/>
          <w:lang w:val="en-GB"/>
        </w:rPr>
        <w:t xml:space="preserve"> </w:t>
      </w:r>
      <w:r w:rsidR="00F56CBE" w:rsidRPr="00336C11">
        <w:rPr>
          <w:sz w:val="22"/>
          <w:szCs w:val="22"/>
          <w:lang w:val="en-GB"/>
        </w:rPr>
        <w:t xml:space="preserve">as problematic </w:t>
      </w:r>
      <w:r w:rsidR="00C73A88" w:rsidRPr="00336C11">
        <w:rPr>
          <w:sz w:val="22"/>
          <w:szCs w:val="22"/>
          <w:lang w:val="en-GB"/>
        </w:rPr>
        <w:t xml:space="preserve">even </w:t>
      </w:r>
      <w:r w:rsidR="00D33A31" w:rsidRPr="00336C11">
        <w:rPr>
          <w:sz w:val="22"/>
          <w:szCs w:val="22"/>
          <w:lang w:val="en-GB"/>
        </w:rPr>
        <w:t>whe</w:t>
      </w:r>
      <w:r w:rsidR="00C73A88" w:rsidRPr="00336C11">
        <w:rPr>
          <w:sz w:val="22"/>
          <w:szCs w:val="22"/>
          <w:lang w:val="en-GB"/>
        </w:rPr>
        <w:t>n</w:t>
      </w:r>
      <w:r w:rsidR="00D33A31" w:rsidRPr="00336C11">
        <w:rPr>
          <w:sz w:val="22"/>
          <w:szCs w:val="22"/>
          <w:lang w:val="en-GB"/>
        </w:rPr>
        <w:t xml:space="preserve"> </w:t>
      </w:r>
      <w:r w:rsidR="00BF3C2D">
        <w:rPr>
          <w:sz w:val="22"/>
          <w:szCs w:val="22"/>
          <w:lang w:val="en-GB"/>
        </w:rPr>
        <w:t>the deadlocked shareholder</w:t>
      </w:r>
      <w:r w:rsidR="009A1BC1">
        <w:rPr>
          <w:sz w:val="22"/>
          <w:szCs w:val="22"/>
          <w:lang w:val="en-GB"/>
        </w:rPr>
        <w:t>s</w:t>
      </w:r>
      <w:r w:rsidR="00BF3C2D">
        <w:rPr>
          <w:sz w:val="22"/>
          <w:szCs w:val="22"/>
          <w:lang w:val="en-GB"/>
        </w:rPr>
        <w:t xml:space="preserve"> take </w:t>
      </w:r>
      <w:r w:rsidR="00D33A31" w:rsidRPr="00336C11">
        <w:rPr>
          <w:sz w:val="22"/>
          <w:szCs w:val="22"/>
          <w:lang w:val="en-GB"/>
        </w:rPr>
        <w:t xml:space="preserve">no decision to </w:t>
      </w:r>
      <w:r w:rsidR="00F3462F" w:rsidRPr="00336C11">
        <w:rPr>
          <w:sz w:val="22"/>
          <w:szCs w:val="22"/>
          <w:lang w:val="en-GB"/>
        </w:rPr>
        <w:t xml:space="preserve">sell or </w:t>
      </w:r>
      <w:r w:rsidR="00D33A31" w:rsidRPr="00336C11">
        <w:rPr>
          <w:sz w:val="22"/>
          <w:szCs w:val="22"/>
          <w:lang w:val="en-GB"/>
        </w:rPr>
        <w:t>dissolve the firm</w:t>
      </w:r>
      <w:r w:rsidR="00BF3C2D">
        <w:rPr>
          <w:sz w:val="22"/>
          <w:szCs w:val="22"/>
          <w:lang w:val="en-GB"/>
        </w:rPr>
        <w:t>. T</w:t>
      </w:r>
      <w:r w:rsidR="00BF3C2D" w:rsidRPr="00336C11">
        <w:rPr>
          <w:sz w:val="22"/>
          <w:szCs w:val="22"/>
          <w:lang w:val="en-GB"/>
        </w:rPr>
        <w:t xml:space="preserve">he </w:t>
      </w:r>
      <w:r w:rsidR="00B05D4C" w:rsidRPr="00336C11">
        <w:rPr>
          <w:sz w:val="22"/>
          <w:szCs w:val="22"/>
          <w:lang w:val="en-GB"/>
        </w:rPr>
        <w:t xml:space="preserve">impasse </w:t>
      </w:r>
      <w:r w:rsidR="009A1BC1" w:rsidRPr="00336C11">
        <w:rPr>
          <w:sz w:val="22"/>
          <w:szCs w:val="22"/>
          <w:lang w:val="en-GB"/>
        </w:rPr>
        <w:t xml:space="preserve">resulting </w:t>
      </w:r>
      <w:r w:rsidR="009A1BC1">
        <w:rPr>
          <w:sz w:val="22"/>
          <w:szCs w:val="22"/>
          <w:lang w:val="en-GB"/>
        </w:rPr>
        <w:t xml:space="preserve">from shareholder deadlocks </w:t>
      </w:r>
      <w:r w:rsidR="00930B58" w:rsidRPr="00336C11">
        <w:rPr>
          <w:sz w:val="22"/>
          <w:szCs w:val="22"/>
          <w:lang w:val="en-GB"/>
        </w:rPr>
        <w:t xml:space="preserve">does in fact </w:t>
      </w:r>
      <w:r w:rsidR="00C86B1D" w:rsidRPr="00336C11">
        <w:rPr>
          <w:sz w:val="22"/>
          <w:szCs w:val="22"/>
          <w:lang w:val="en-GB"/>
        </w:rPr>
        <w:t>stand</w:t>
      </w:r>
      <w:r w:rsidR="00A95BE6" w:rsidRPr="00336C11">
        <w:rPr>
          <w:sz w:val="22"/>
          <w:szCs w:val="22"/>
          <w:lang w:val="en-GB"/>
        </w:rPr>
        <w:t xml:space="preserve"> </w:t>
      </w:r>
      <w:r w:rsidR="00C86B1D" w:rsidRPr="00336C11">
        <w:rPr>
          <w:sz w:val="22"/>
          <w:szCs w:val="22"/>
          <w:lang w:val="en-GB"/>
        </w:rPr>
        <w:t xml:space="preserve">in the way of the </w:t>
      </w:r>
      <w:r w:rsidR="00D33A31" w:rsidRPr="00336C11">
        <w:rPr>
          <w:sz w:val="22"/>
          <w:szCs w:val="22"/>
          <w:lang w:val="en-GB"/>
        </w:rPr>
        <w:t xml:space="preserve">deadlocked </w:t>
      </w:r>
      <w:r w:rsidR="00C86B1D" w:rsidRPr="00336C11">
        <w:rPr>
          <w:sz w:val="22"/>
          <w:szCs w:val="22"/>
          <w:lang w:val="en-GB"/>
        </w:rPr>
        <w:t>firm’s productive efficiency</w:t>
      </w:r>
      <w:r w:rsidR="00F56CBE" w:rsidRPr="00336C11">
        <w:rPr>
          <w:sz w:val="22"/>
          <w:szCs w:val="22"/>
          <w:lang w:val="en-GB"/>
        </w:rPr>
        <w:t>,</w:t>
      </w:r>
      <w:r w:rsidR="00C86B1D" w:rsidRPr="00336C11">
        <w:rPr>
          <w:sz w:val="22"/>
          <w:szCs w:val="22"/>
          <w:vertAlign w:val="superscript"/>
          <w:lang w:val="en-GB"/>
        </w:rPr>
        <w:footnoteReference w:id="33"/>
      </w:r>
      <w:r w:rsidR="00F56CBE" w:rsidRPr="00336C11">
        <w:rPr>
          <w:sz w:val="22"/>
          <w:szCs w:val="22"/>
          <w:lang w:val="en-GB"/>
        </w:rPr>
        <w:t xml:space="preserve"> preventing the implementation of value-increasing projects.</w:t>
      </w:r>
      <w:r w:rsidR="00C86B1D" w:rsidRPr="00336C11">
        <w:rPr>
          <w:sz w:val="22"/>
          <w:szCs w:val="22"/>
          <w:lang w:val="en-GB"/>
        </w:rPr>
        <w:t xml:space="preserve"> </w:t>
      </w:r>
    </w:p>
    <w:p w14:paraId="709F1BF5" w14:textId="68272030" w:rsidR="008B0163" w:rsidRPr="00336C11" w:rsidRDefault="00210B74" w:rsidP="00497127">
      <w:pPr>
        <w:ind w:firstLine="567"/>
        <w:jc w:val="both"/>
        <w:rPr>
          <w:sz w:val="22"/>
          <w:szCs w:val="22"/>
          <w:lang w:val="en-GB"/>
        </w:rPr>
      </w:pPr>
      <w:r w:rsidRPr="00336C11">
        <w:rPr>
          <w:sz w:val="22"/>
          <w:szCs w:val="22"/>
          <w:lang w:val="en-GB"/>
        </w:rPr>
        <w:t xml:space="preserve">Assume </w:t>
      </w:r>
      <w:r w:rsidR="009A1BC1">
        <w:rPr>
          <w:sz w:val="22"/>
          <w:szCs w:val="22"/>
          <w:lang w:val="en-GB"/>
        </w:rPr>
        <w:t xml:space="preserve">for instance </w:t>
      </w:r>
      <w:r w:rsidRPr="00336C11">
        <w:rPr>
          <w:sz w:val="22"/>
          <w:szCs w:val="22"/>
          <w:lang w:val="en-GB"/>
        </w:rPr>
        <w:t xml:space="preserve">that, </w:t>
      </w:r>
      <w:r w:rsidR="003F387B" w:rsidRPr="00336C11">
        <w:rPr>
          <w:sz w:val="22"/>
          <w:szCs w:val="22"/>
          <w:lang w:val="en-GB"/>
        </w:rPr>
        <w:t>because of the existing shareholder deadlock</w:t>
      </w:r>
      <w:r w:rsidR="004E3AAC" w:rsidRPr="00336C11">
        <w:rPr>
          <w:sz w:val="22"/>
          <w:szCs w:val="22"/>
          <w:lang w:val="en-GB"/>
        </w:rPr>
        <w:t xml:space="preserve">, firm value </w:t>
      </w:r>
      <w:r w:rsidR="00C40071" w:rsidRPr="00336C11">
        <w:rPr>
          <w:sz w:val="22"/>
          <w:szCs w:val="22"/>
          <w:lang w:val="en-GB"/>
        </w:rPr>
        <w:t xml:space="preserve">is </w:t>
      </w:r>
      <w:r w:rsidR="007C7D3D" w:rsidRPr="00336C11">
        <w:rPr>
          <w:sz w:val="22"/>
          <w:szCs w:val="22"/>
          <w:lang w:val="en-GB"/>
        </w:rPr>
        <w:t>deadlocked firm value “</w:t>
      </w:r>
      <w:r w:rsidR="004E3AAC" w:rsidRPr="00336C11">
        <w:rPr>
          <w:sz w:val="22"/>
          <w:szCs w:val="22"/>
          <w:lang w:val="en-GB"/>
        </w:rPr>
        <w:t>DFV</w:t>
      </w:r>
      <w:r w:rsidR="007C7D3D" w:rsidRPr="00336C11">
        <w:rPr>
          <w:sz w:val="22"/>
          <w:szCs w:val="22"/>
          <w:lang w:val="en-GB"/>
        </w:rPr>
        <w:t>”</w:t>
      </w:r>
      <w:r w:rsidR="00F054CE" w:rsidRPr="00336C11">
        <w:rPr>
          <w:sz w:val="22"/>
          <w:szCs w:val="22"/>
          <w:lang w:val="en-GB"/>
        </w:rPr>
        <w:t>.</w:t>
      </w:r>
      <w:r w:rsidR="004E3AAC" w:rsidRPr="00336C11">
        <w:rPr>
          <w:sz w:val="22"/>
          <w:szCs w:val="22"/>
          <w:lang w:val="en-GB"/>
        </w:rPr>
        <w:t xml:space="preserve"> </w:t>
      </w:r>
      <w:r w:rsidRPr="00336C11">
        <w:rPr>
          <w:sz w:val="22"/>
          <w:szCs w:val="22"/>
          <w:lang w:val="en-GB"/>
        </w:rPr>
        <w:t>Assume that</w:t>
      </w:r>
      <w:r w:rsidR="00B05D4C" w:rsidRPr="00336C11">
        <w:rPr>
          <w:sz w:val="22"/>
          <w:szCs w:val="22"/>
          <w:lang w:val="en-GB"/>
        </w:rPr>
        <w:t xml:space="preserve"> </w:t>
      </w:r>
      <w:r w:rsidRPr="00336C11">
        <w:rPr>
          <w:sz w:val="22"/>
          <w:szCs w:val="22"/>
          <w:lang w:val="en-GB"/>
        </w:rPr>
        <w:t>o</w:t>
      </w:r>
      <w:r w:rsidR="00405154" w:rsidRPr="00336C11">
        <w:rPr>
          <w:sz w:val="22"/>
          <w:szCs w:val="22"/>
          <w:lang w:val="en-GB"/>
        </w:rPr>
        <w:t xml:space="preserve">vercoming the impasse </w:t>
      </w:r>
      <w:r w:rsidR="00D33A31" w:rsidRPr="00336C11">
        <w:rPr>
          <w:sz w:val="22"/>
          <w:szCs w:val="22"/>
          <w:lang w:val="en-GB"/>
        </w:rPr>
        <w:t xml:space="preserve">would </w:t>
      </w:r>
      <w:r w:rsidR="00B05D4C" w:rsidRPr="00336C11">
        <w:rPr>
          <w:sz w:val="22"/>
          <w:szCs w:val="22"/>
          <w:lang w:val="en-GB"/>
        </w:rPr>
        <w:t xml:space="preserve">allow to give the green light to a given business project and that implementing such business project would result in </w:t>
      </w:r>
      <w:r w:rsidRPr="00336C11">
        <w:rPr>
          <w:sz w:val="22"/>
          <w:szCs w:val="22"/>
          <w:lang w:val="en-GB"/>
        </w:rPr>
        <w:t xml:space="preserve">an increase in firm value </w:t>
      </w:r>
      <w:r w:rsidR="003F387B" w:rsidRPr="00336C11">
        <w:rPr>
          <w:sz w:val="22"/>
          <w:szCs w:val="22"/>
          <w:lang w:val="en-GB"/>
        </w:rPr>
        <w:t xml:space="preserve">by </w:t>
      </w:r>
      <w:r w:rsidR="009A1BC1">
        <w:rPr>
          <w:sz w:val="22"/>
          <w:szCs w:val="22"/>
          <w:lang w:val="en-GB"/>
        </w:rPr>
        <w:t xml:space="preserve">an additional given amount – say, </w:t>
      </w:r>
      <w:r w:rsidR="003F387B" w:rsidRPr="00336C11">
        <w:rPr>
          <w:sz w:val="22"/>
          <w:szCs w:val="22"/>
          <w:lang w:val="en-GB"/>
        </w:rPr>
        <w:t xml:space="preserve">a delta </w:t>
      </w:r>
      <w:r w:rsidR="007C7D3D" w:rsidRPr="00336C11">
        <w:rPr>
          <w:sz w:val="22"/>
          <w:szCs w:val="22"/>
          <w:lang w:val="en-GB"/>
        </w:rPr>
        <w:t>“</w:t>
      </w:r>
      <w:r w:rsidR="00C40071" w:rsidRPr="00336C11">
        <w:rPr>
          <w:sz w:val="22"/>
          <w:szCs w:val="22"/>
          <w:lang w:val="en-GB"/>
        </w:rPr>
        <w:t>D</w:t>
      </w:r>
      <w:r w:rsidR="00B05D4C" w:rsidRPr="00336C11">
        <w:rPr>
          <w:sz w:val="22"/>
          <w:szCs w:val="22"/>
          <w:lang w:val="en-GB"/>
        </w:rPr>
        <w:t>”. E</w:t>
      </w:r>
      <w:r w:rsidR="007C7D3D" w:rsidRPr="00336C11">
        <w:rPr>
          <w:sz w:val="22"/>
          <w:szCs w:val="22"/>
          <w:lang w:val="en-GB"/>
        </w:rPr>
        <w:t xml:space="preserve">xpected </w:t>
      </w:r>
      <w:r w:rsidR="00A255D7" w:rsidRPr="00336C11">
        <w:rPr>
          <w:sz w:val="22"/>
          <w:szCs w:val="22"/>
          <w:lang w:val="en-GB"/>
        </w:rPr>
        <w:t xml:space="preserve">post-deadlock firm value </w:t>
      </w:r>
      <w:r w:rsidR="007C7D3D" w:rsidRPr="00336C11">
        <w:rPr>
          <w:sz w:val="22"/>
          <w:szCs w:val="22"/>
          <w:lang w:val="en-GB"/>
        </w:rPr>
        <w:t>“</w:t>
      </w:r>
      <w:r w:rsidR="00ED5100" w:rsidRPr="00336C11">
        <w:rPr>
          <w:sz w:val="22"/>
          <w:szCs w:val="22"/>
          <w:lang w:val="en-GB"/>
        </w:rPr>
        <w:t>PDFV</w:t>
      </w:r>
      <w:r w:rsidR="007C7D3D" w:rsidRPr="00336C11">
        <w:rPr>
          <w:sz w:val="22"/>
          <w:szCs w:val="22"/>
          <w:lang w:val="en-GB"/>
        </w:rPr>
        <w:t>”</w:t>
      </w:r>
      <w:r w:rsidRPr="00336C11">
        <w:rPr>
          <w:sz w:val="22"/>
          <w:szCs w:val="22"/>
          <w:lang w:val="en-GB"/>
        </w:rPr>
        <w:t xml:space="preserve"> </w:t>
      </w:r>
      <w:r w:rsidR="00B05D4C" w:rsidRPr="00336C11">
        <w:rPr>
          <w:sz w:val="22"/>
          <w:szCs w:val="22"/>
          <w:lang w:val="en-GB"/>
        </w:rPr>
        <w:t xml:space="preserve">would then be such that </w:t>
      </w:r>
      <w:r w:rsidR="0093329D" w:rsidRPr="00336C11">
        <w:rPr>
          <w:sz w:val="22"/>
          <w:szCs w:val="22"/>
          <w:lang w:val="en-GB"/>
        </w:rPr>
        <w:t>PDFV=DFV+D</w:t>
      </w:r>
      <w:r w:rsidR="00A255D7" w:rsidRPr="00336C11">
        <w:rPr>
          <w:sz w:val="22"/>
          <w:szCs w:val="22"/>
          <w:lang w:val="en-GB"/>
        </w:rPr>
        <w:t>.</w:t>
      </w:r>
      <w:r w:rsidR="00356C06" w:rsidRPr="00336C11">
        <w:rPr>
          <w:sz w:val="22"/>
          <w:szCs w:val="22"/>
          <w:lang w:val="en-GB"/>
        </w:rPr>
        <w:t xml:space="preserve"> </w:t>
      </w:r>
      <w:r w:rsidR="00905DBC" w:rsidRPr="00336C11">
        <w:rPr>
          <w:sz w:val="22"/>
          <w:szCs w:val="22"/>
          <w:lang w:val="en-GB"/>
        </w:rPr>
        <w:t>Yet, insofar as the deadlocked shareholders cannot get reconciled and then make a decision as to which way to go,</w:t>
      </w:r>
      <w:r w:rsidR="00905DBC" w:rsidRPr="00336C11">
        <w:rPr>
          <w:sz w:val="22"/>
          <w:szCs w:val="22"/>
          <w:vertAlign w:val="superscript"/>
          <w:lang w:val="en-GB"/>
        </w:rPr>
        <w:footnoteReference w:id="34"/>
      </w:r>
      <w:r w:rsidR="00905DBC" w:rsidRPr="00336C11">
        <w:rPr>
          <w:sz w:val="22"/>
          <w:szCs w:val="22"/>
          <w:lang w:val="en-GB"/>
        </w:rPr>
        <w:t xml:space="preserve"> the </w:t>
      </w:r>
      <w:r w:rsidR="00BF3C2D">
        <w:rPr>
          <w:sz w:val="22"/>
          <w:szCs w:val="22"/>
          <w:lang w:val="en-GB"/>
        </w:rPr>
        <w:t xml:space="preserve">deadlocked </w:t>
      </w:r>
      <w:r w:rsidR="00905DBC" w:rsidRPr="00336C11">
        <w:rPr>
          <w:sz w:val="22"/>
          <w:szCs w:val="22"/>
          <w:lang w:val="en-GB"/>
        </w:rPr>
        <w:t xml:space="preserve">firm </w:t>
      </w:r>
      <w:r w:rsidR="00BF3C2D">
        <w:rPr>
          <w:sz w:val="22"/>
          <w:szCs w:val="22"/>
          <w:lang w:val="en-GB"/>
        </w:rPr>
        <w:t xml:space="preserve">could not engage </w:t>
      </w:r>
      <w:r w:rsidR="00B05D4C" w:rsidRPr="00336C11">
        <w:rPr>
          <w:sz w:val="22"/>
          <w:szCs w:val="22"/>
          <w:lang w:val="en-GB"/>
        </w:rPr>
        <w:t>in such</w:t>
      </w:r>
      <w:r w:rsidR="00405154" w:rsidRPr="00336C11">
        <w:rPr>
          <w:sz w:val="22"/>
          <w:szCs w:val="22"/>
          <w:lang w:val="en-GB"/>
        </w:rPr>
        <w:t xml:space="preserve"> value-creating </w:t>
      </w:r>
      <w:r w:rsidR="00B05D4C" w:rsidRPr="00336C11">
        <w:rPr>
          <w:sz w:val="22"/>
          <w:szCs w:val="22"/>
          <w:lang w:val="en-GB"/>
        </w:rPr>
        <w:t>exercise</w:t>
      </w:r>
      <w:r w:rsidR="00BF3C2D">
        <w:rPr>
          <w:sz w:val="22"/>
          <w:szCs w:val="22"/>
          <w:lang w:val="en-GB"/>
        </w:rPr>
        <w:t xml:space="preserve">, </w:t>
      </w:r>
      <w:r w:rsidR="00BF3C2D">
        <w:rPr>
          <w:sz w:val="22"/>
          <w:szCs w:val="22"/>
          <w:lang w:val="en-GB"/>
        </w:rPr>
        <w:lastRenderedPageBreak/>
        <w:t xml:space="preserve">which would </w:t>
      </w:r>
      <w:r w:rsidR="00E33328" w:rsidRPr="00336C11">
        <w:rPr>
          <w:sz w:val="22"/>
          <w:szCs w:val="22"/>
          <w:lang w:val="en-GB"/>
        </w:rPr>
        <w:t>in turn result in v</w:t>
      </w:r>
      <w:r w:rsidR="00B05D4C" w:rsidRPr="00336C11">
        <w:rPr>
          <w:sz w:val="22"/>
          <w:szCs w:val="22"/>
          <w:lang w:val="en-GB"/>
        </w:rPr>
        <w:t>alue</w:t>
      </w:r>
      <w:r w:rsidRPr="00336C11">
        <w:rPr>
          <w:sz w:val="22"/>
          <w:szCs w:val="22"/>
          <w:lang w:val="en-GB"/>
        </w:rPr>
        <w:t xml:space="preserve">-destruction in an amount </w:t>
      </w:r>
      <w:r w:rsidR="00ED5100" w:rsidRPr="00336C11">
        <w:rPr>
          <w:sz w:val="22"/>
          <w:szCs w:val="22"/>
          <w:lang w:val="en-GB"/>
        </w:rPr>
        <w:t>VD</w:t>
      </w:r>
      <w:r w:rsidR="0067699C" w:rsidRPr="00336C11">
        <w:rPr>
          <w:sz w:val="22"/>
          <w:szCs w:val="22"/>
          <w:lang w:val="en-GB"/>
        </w:rPr>
        <w:t xml:space="preserve"> </w:t>
      </w:r>
      <w:r w:rsidRPr="00336C11">
        <w:rPr>
          <w:sz w:val="22"/>
          <w:szCs w:val="22"/>
          <w:lang w:val="en-GB"/>
        </w:rPr>
        <w:t>such that VD</w:t>
      </w:r>
      <w:r w:rsidR="00C40071" w:rsidRPr="00336C11">
        <w:rPr>
          <w:sz w:val="22"/>
          <w:szCs w:val="22"/>
          <w:lang w:val="en-GB"/>
        </w:rPr>
        <w:t>=PDFV-FDV</w:t>
      </w:r>
      <w:r w:rsidR="0093329D" w:rsidRPr="00336C11">
        <w:rPr>
          <w:sz w:val="22"/>
          <w:szCs w:val="22"/>
          <w:lang w:val="en-GB"/>
        </w:rPr>
        <w:t>=</w:t>
      </w:r>
      <w:r w:rsidR="00C40071" w:rsidRPr="00336C11">
        <w:rPr>
          <w:sz w:val="22"/>
          <w:szCs w:val="22"/>
          <w:lang w:val="en-GB"/>
        </w:rPr>
        <w:t>D</w:t>
      </w:r>
      <w:r w:rsidR="006B0BCA" w:rsidRPr="00336C11">
        <w:rPr>
          <w:sz w:val="22"/>
          <w:szCs w:val="22"/>
          <w:lang w:val="en-GB"/>
        </w:rPr>
        <w:t xml:space="preserve">. </w:t>
      </w:r>
    </w:p>
    <w:p w14:paraId="5687E395" w14:textId="4B0890E6" w:rsidR="00020701" w:rsidRPr="00336C11" w:rsidRDefault="00703C28" w:rsidP="00C12B86">
      <w:pPr>
        <w:spacing w:before="240" w:after="240"/>
        <w:ind w:left="567" w:right="567"/>
        <w:jc w:val="both"/>
        <w:rPr>
          <w:bCs/>
          <w:iCs/>
          <w:sz w:val="20"/>
          <w:szCs w:val="22"/>
          <w:lang w:val="en-GB"/>
        </w:rPr>
      </w:pPr>
      <w:r w:rsidRPr="00336C11">
        <w:rPr>
          <w:b/>
          <w:i/>
          <w:sz w:val="20"/>
          <w:szCs w:val="22"/>
          <w:lang w:val="en-GB"/>
        </w:rPr>
        <w:t xml:space="preserve">Example. </w:t>
      </w:r>
      <w:r w:rsidR="00C02EB0" w:rsidRPr="00336C11">
        <w:rPr>
          <w:bCs/>
          <w:iCs/>
          <w:sz w:val="20"/>
          <w:szCs w:val="22"/>
          <w:lang w:val="en-GB"/>
        </w:rPr>
        <w:t>Alfa</w:t>
      </w:r>
      <w:r w:rsidR="00BF3C2D">
        <w:rPr>
          <w:bCs/>
          <w:iCs/>
          <w:sz w:val="20"/>
          <w:szCs w:val="22"/>
          <w:lang w:val="en-GB"/>
        </w:rPr>
        <w:t xml:space="preserve"> is suffering from a shareholder deadlock</w:t>
      </w:r>
      <w:r w:rsidR="006B0BCA" w:rsidRPr="00336C11">
        <w:rPr>
          <w:bCs/>
          <w:iCs/>
          <w:sz w:val="20"/>
          <w:szCs w:val="22"/>
          <w:lang w:val="en-GB"/>
        </w:rPr>
        <w:t>.</w:t>
      </w:r>
      <w:r w:rsidR="00C02EB0" w:rsidRPr="00336C11">
        <w:rPr>
          <w:bCs/>
          <w:iCs/>
          <w:sz w:val="20"/>
          <w:szCs w:val="22"/>
          <w:lang w:val="en-GB"/>
        </w:rPr>
        <w:t xml:space="preserve"> </w:t>
      </w:r>
      <w:r w:rsidRPr="00336C11">
        <w:rPr>
          <w:bCs/>
          <w:iCs/>
          <w:sz w:val="20"/>
          <w:szCs w:val="22"/>
          <w:lang w:val="en-GB"/>
        </w:rPr>
        <w:t>Alfa</w:t>
      </w:r>
      <w:r w:rsidR="00D33A31" w:rsidRPr="00336C11">
        <w:rPr>
          <w:bCs/>
          <w:iCs/>
          <w:sz w:val="20"/>
          <w:szCs w:val="22"/>
          <w:lang w:val="en-GB"/>
        </w:rPr>
        <w:t>’s</w:t>
      </w:r>
      <w:r w:rsidRPr="00336C11">
        <w:rPr>
          <w:bCs/>
          <w:iCs/>
          <w:sz w:val="20"/>
          <w:szCs w:val="22"/>
          <w:lang w:val="en-GB"/>
        </w:rPr>
        <w:t xml:space="preserve"> </w:t>
      </w:r>
      <w:r w:rsidR="00356C06" w:rsidRPr="00336C11">
        <w:rPr>
          <w:bCs/>
          <w:iCs/>
          <w:sz w:val="20"/>
          <w:szCs w:val="22"/>
          <w:lang w:val="en-GB"/>
        </w:rPr>
        <w:t xml:space="preserve">DFV </w:t>
      </w:r>
      <w:r w:rsidR="006B0BCA" w:rsidRPr="00336C11">
        <w:rPr>
          <w:bCs/>
          <w:iCs/>
          <w:sz w:val="20"/>
          <w:szCs w:val="22"/>
          <w:lang w:val="en-GB"/>
        </w:rPr>
        <w:t>stands at 400</w:t>
      </w:r>
      <w:r w:rsidR="00057DE1" w:rsidRPr="00336C11">
        <w:rPr>
          <w:bCs/>
          <w:iCs/>
          <w:sz w:val="20"/>
          <w:szCs w:val="22"/>
          <w:lang w:val="en-GB"/>
        </w:rPr>
        <w:t xml:space="preserve">, but </w:t>
      </w:r>
      <w:r w:rsidR="00BF3C2D">
        <w:rPr>
          <w:bCs/>
          <w:iCs/>
          <w:sz w:val="20"/>
          <w:szCs w:val="22"/>
          <w:lang w:val="en-GB"/>
        </w:rPr>
        <w:t xml:space="preserve">Alfa’s </w:t>
      </w:r>
      <w:r w:rsidR="00356C06" w:rsidRPr="00336C11">
        <w:rPr>
          <w:bCs/>
          <w:iCs/>
          <w:sz w:val="20"/>
          <w:szCs w:val="22"/>
          <w:lang w:val="en-GB"/>
        </w:rPr>
        <w:t xml:space="preserve">PDFV </w:t>
      </w:r>
      <w:r w:rsidRPr="00336C11">
        <w:rPr>
          <w:bCs/>
          <w:iCs/>
          <w:sz w:val="20"/>
          <w:szCs w:val="22"/>
          <w:lang w:val="en-GB"/>
        </w:rPr>
        <w:t>stand</w:t>
      </w:r>
      <w:r w:rsidR="00BF3C2D">
        <w:rPr>
          <w:bCs/>
          <w:iCs/>
          <w:sz w:val="20"/>
          <w:szCs w:val="22"/>
          <w:lang w:val="en-GB"/>
        </w:rPr>
        <w:t>s</w:t>
      </w:r>
      <w:r w:rsidRPr="00336C11">
        <w:rPr>
          <w:bCs/>
          <w:iCs/>
          <w:sz w:val="20"/>
          <w:szCs w:val="22"/>
          <w:lang w:val="en-GB"/>
        </w:rPr>
        <w:t xml:space="preserve"> at </w:t>
      </w:r>
      <w:r w:rsidR="008B0163" w:rsidRPr="00336C11">
        <w:rPr>
          <w:bCs/>
          <w:iCs/>
          <w:sz w:val="20"/>
          <w:szCs w:val="22"/>
          <w:lang w:val="en-GB"/>
        </w:rPr>
        <w:t>500</w:t>
      </w:r>
      <w:r w:rsidR="00FC72A6" w:rsidRPr="00336C11">
        <w:rPr>
          <w:bCs/>
          <w:iCs/>
          <w:sz w:val="20"/>
          <w:szCs w:val="22"/>
          <w:lang w:val="en-GB"/>
        </w:rPr>
        <w:t>,</w:t>
      </w:r>
      <w:r w:rsidR="008B0163" w:rsidRPr="00336C11">
        <w:rPr>
          <w:bCs/>
          <w:iCs/>
          <w:sz w:val="20"/>
          <w:szCs w:val="22"/>
          <w:lang w:val="en-GB"/>
        </w:rPr>
        <w:t xml:space="preserve"> if </w:t>
      </w:r>
      <w:r w:rsidR="00057DE1" w:rsidRPr="00336C11">
        <w:rPr>
          <w:bCs/>
          <w:iCs/>
          <w:sz w:val="20"/>
          <w:szCs w:val="22"/>
          <w:lang w:val="en-GB"/>
        </w:rPr>
        <w:t xml:space="preserve">it were to </w:t>
      </w:r>
      <w:r w:rsidR="008B0163" w:rsidRPr="00336C11">
        <w:rPr>
          <w:bCs/>
          <w:iCs/>
          <w:sz w:val="20"/>
          <w:szCs w:val="22"/>
          <w:lang w:val="en-GB"/>
        </w:rPr>
        <w:t xml:space="preserve">implement </w:t>
      </w:r>
      <w:r w:rsidR="00057DE1" w:rsidRPr="00336C11">
        <w:rPr>
          <w:bCs/>
          <w:iCs/>
          <w:sz w:val="20"/>
          <w:szCs w:val="22"/>
          <w:lang w:val="en-GB"/>
        </w:rPr>
        <w:t xml:space="preserve">either </w:t>
      </w:r>
      <w:r w:rsidR="008B0163" w:rsidRPr="00336C11">
        <w:rPr>
          <w:bCs/>
          <w:iCs/>
          <w:sz w:val="20"/>
          <w:szCs w:val="22"/>
          <w:lang w:val="en-GB"/>
        </w:rPr>
        <w:t xml:space="preserve">business project </w:t>
      </w:r>
      <w:r w:rsidR="00057DE1" w:rsidRPr="00336C11">
        <w:rPr>
          <w:bCs/>
          <w:iCs/>
          <w:sz w:val="20"/>
          <w:szCs w:val="22"/>
          <w:lang w:val="en-GB"/>
        </w:rPr>
        <w:t>suggested by its shareholders.</w:t>
      </w:r>
      <w:r w:rsidRPr="00336C11">
        <w:rPr>
          <w:bCs/>
          <w:iCs/>
          <w:sz w:val="20"/>
          <w:szCs w:val="22"/>
          <w:lang w:val="en-GB"/>
        </w:rPr>
        <w:t xml:space="preserve"> </w:t>
      </w:r>
      <w:r w:rsidR="00057DE1" w:rsidRPr="00336C11">
        <w:rPr>
          <w:bCs/>
          <w:iCs/>
          <w:sz w:val="20"/>
          <w:szCs w:val="22"/>
          <w:lang w:val="en-GB"/>
        </w:rPr>
        <w:t xml:space="preserve">As </w:t>
      </w:r>
      <w:r w:rsidR="00BF3C2D">
        <w:rPr>
          <w:bCs/>
          <w:iCs/>
          <w:sz w:val="20"/>
          <w:szCs w:val="22"/>
          <w:lang w:val="en-GB"/>
        </w:rPr>
        <w:t xml:space="preserve">the deadlocked shareholder </w:t>
      </w:r>
      <w:r w:rsidR="00057DE1" w:rsidRPr="00336C11">
        <w:rPr>
          <w:bCs/>
          <w:iCs/>
          <w:sz w:val="20"/>
          <w:szCs w:val="22"/>
          <w:lang w:val="en-GB"/>
        </w:rPr>
        <w:t>cannot find any way out of the impasse, t</w:t>
      </w:r>
      <w:r w:rsidR="00020701" w:rsidRPr="00336C11">
        <w:rPr>
          <w:bCs/>
          <w:iCs/>
          <w:sz w:val="20"/>
          <w:szCs w:val="22"/>
          <w:lang w:val="en-GB"/>
        </w:rPr>
        <w:t xml:space="preserve">he </w:t>
      </w:r>
      <w:r w:rsidR="00057DE1" w:rsidRPr="00336C11">
        <w:rPr>
          <w:bCs/>
          <w:iCs/>
          <w:sz w:val="20"/>
          <w:szCs w:val="22"/>
          <w:lang w:val="en-GB"/>
        </w:rPr>
        <w:t xml:space="preserve">deadlock persists, </w:t>
      </w:r>
      <w:r w:rsidR="00020701" w:rsidRPr="00336C11">
        <w:rPr>
          <w:bCs/>
          <w:iCs/>
          <w:sz w:val="20"/>
          <w:szCs w:val="22"/>
          <w:lang w:val="en-GB"/>
        </w:rPr>
        <w:t>sacrific</w:t>
      </w:r>
      <w:r w:rsidR="00057DE1" w:rsidRPr="00336C11">
        <w:rPr>
          <w:bCs/>
          <w:iCs/>
          <w:sz w:val="20"/>
          <w:szCs w:val="22"/>
          <w:lang w:val="en-GB"/>
        </w:rPr>
        <w:t xml:space="preserve">ing </w:t>
      </w:r>
      <w:r w:rsidR="00020701" w:rsidRPr="00336C11">
        <w:rPr>
          <w:bCs/>
          <w:iCs/>
          <w:sz w:val="20"/>
          <w:szCs w:val="22"/>
          <w:lang w:val="en-GB"/>
        </w:rPr>
        <w:t xml:space="preserve">100 </w:t>
      </w:r>
      <w:r w:rsidR="00C40071" w:rsidRPr="00336C11">
        <w:rPr>
          <w:bCs/>
          <w:iCs/>
          <w:sz w:val="20"/>
          <w:szCs w:val="22"/>
          <w:lang w:val="en-GB"/>
        </w:rPr>
        <w:t xml:space="preserve">(100=500-400) </w:t>
      </w:r>
      <w:r w:rsidR="00020701" w:rsidRPr="00336C11">
        <w:rPr>
          <w:bCs/>
          <w:iCs/>
          <w:sz w:val="20"/>
          <w:szCs w:val="22"/>
          <w:lang w:val="en-GB"/>
        </w:rPr>
        <w:t xml:space="preserve">in </w:t>
      </w:r>
      <w:r w:rsidR="00C40071" w:rsidRPr="00336C11">
        <w:rPr>
          <w:bCs/>
          <w:iCs/>
          <w:sz w:val="20"/>
          <w:szCs w:val="22"/>
          <w:lang w:val="en-GB"/>
        </w:rPr>
        <w:t xml:space="preserve">overall firm </w:t>
      </w:r>
      <w:r w:rsidR="00020701" w:rsidRPr="00336C11">
        <w:rPr>
          <w:bCs/>
          <w:iCs/>
          <w:sz w:val="20"/>
          <w:szCs w:val="22"/>
          <w:lang w:val="en-GB"/>
        </w:rPr>
        <w:t>value.</w:t>
      </w:r>
    </w:p>
    <w:p w14:paraId="653415C6" w14:textId="73497578" w:rsidR="009A1BC1" w:rsidRDefault="00950738" w:rsidP="00950738">
      <w:pPr>
        <w:ind w:firstLine="567"/>
        <w:jc w:val="both"/>
        <w:rPr>
          <w:sz w:val="22"/>
          <w:szCs w:val="22"/>
          <w:lang w:val="en-GB"/>
        </w:rPr>
      </w:pPr>
      <w:bookmarkStart w:id="25" w:name="_Toc58274687"/>
      <w:bookmarkStart w:id="26" w:name="_Toc64465220"/>
      <w:r>
        <w:rPr>
          <w:sz w:val="22"/>
          <w:szCs w:val="22"/>
          <w:lang w:val="en-GB"/>
        </w:rPr>
        <w:t>As long as</w:t>
      </w:r>
      <w:r w:rsidRPr="00336C11">
        <w:rPr>
          <w:sz w:val="22"/>
          <w:szCs w:val="22"/>
          <w:lang w:val="en-GB"/>
        </w:rPr>
        <w:t xml:space="preserve"> </w:t>
      </w:r>
      <w:r w:rsidR="009A1BC1">
        <w:rPr>
          <w:sz w:val="22"/>
          <w:szCs w:val="22"/>
          <w:lang w:val="en-GB"/>
        </w:rPr>
        <w:t xml:space="preserve">the deadlocked </w:t>
      </w:r>
      <w:r w:rsidRPr="00336C11">
        <w:rPr>
          <w:sz w:val="22"/>
          <w:szCs w:val="22"/>
          <w:lang w:val="en-GB"/>
        </w:rPr>
        <w:t>firm exhibits a “plain-vanilla” financial structure</w:t>
      </w:r>
      <w:r>
        <w:rPr>
          <w:sz w:val="22"/>
          <w:szCs w:val="22"/>
          <w:lang w:val="en-GB"/>
        </w:rPr>
        <w:t>,</w:t>
      </w:r>
      <w:r w:rsidRPr="00336C11">
        <w:rPr>
          <w:rStyle w:val="FootnoteReference"/>
          <w:rFonts w:ascii="Times New Roman" w:hAnsi="Times New Roman"/>
          <w:sz w:val="22"/>
          <w:szCs w:val="22"/>
          <w:lang w:val="en-GB"/>
        </w:rPr>
        <w:footnoteReference w:id="35"/>
      </w:r>
      <w:r w:rsidRPr="00336C11">
        <w:rPr>
          <w:sz w:val="22"/>
          <w:szCs w:val="22"/>
          <w:lang w:val="en-GB"/>
        </w:rPr>
        <w:t xml:space="preserve"> </w:t>
      </w:r>
      <w:r>
        <w:rPr>
          <w:sz w:val="22"/>
          <w:szCs w:val="22"/>
          <w:lang w:val="en-GB"/>
        </w:rPr>
        <w:t>t</w:t>
      </w:r>
      <w:r w:rsidRPr="00336C11">
        <w:rPr>
          <w:sz w:val="22"/>
          <w:szCs w:val="22"/>
          <w:lang w:val="en-GB"/>
        </w:rPr>
        <w:t>he deadlocked shareholders</w:t>
      </w:r>
      <w:r>
        <w:rPr>
          <w:sz w:val="22"/>
          <w:szCs w:val="22"/>
          <w:lang w:val="en-GB"/>
        </w:rPr>
        <w:t xml:space="preserve">’ </w:t>
      </w:r>
      <w:r w:rsidRPr="00336C11">
        <w:rPr>
          <w:sz w:val="22"/>
          <w:szCs w:val="22"/>
          <w:lang w:val="en-GB"/>
        </w:rPr>
        <w:t xml:space="preserve">payoffs are </w:t>
      </w:r>
      <w:r w:rsidR="009A1BC1">
        <w:rPr>
          <w:sz w:val="22"/>
          <w:szCs w:val="22"/>
          <w:lang w:val="en-GB"/>
        </w:rPr>
        <w:t xml:space="preserve">poised to be </w:t>
      </w:r>
      <w:r w:rsidRPr="00336C11">
        <w:rPr>
          <w:sz w:val="22"/>
          <w:szCs w:val="22"/>
          <w:lang w:val="en-GB"/>
        </w:rPr>
        <w:t xml:space="preserve">a linear function of firm value. </w:t>
      </w:r>
      <w:r>
        <w:rPr>
          <w:sz w:val="22"/>
          <w:szCs w:val="22"/>
          <w:lang w:val="en-GB"/>
        </w:rPr>
        <w:t xml:space="preserve">To be sure, their current payoffs </w:t>
      </w:r>
      <w:r w:rsidRPr="00336C11">
        <w:rPr>
          <w:sz w:val="22"/>
          <w:szCs w:val="22"/>
          <w:lang w:val="en-GB"/>
        </w:rPr>
        <w:t>CP</w:t>
      </w:r>
      <w:r w:rsidRPr="00336C11">
        <w:rPr>
          <w:sz w:val="22"/>
          <w:szCs w:val="22"/>
          <w:vertAlign w:val="subscript"/>
          <w:lang w:val="en-GB"/>
        </w:rPr>
        <w:t>1</w:t>
      </w:r>
      <w:r w:rsidR="009A1BC1">
        <w:rPr>
          <w:sz w:val="22"/>
          <w:szCs w:val="22"/>
          <w:lang w:val="en-GB"/>
        </w:rPr>
        <w:t>=</w:t>
      </w:r>
      <w:r w:rsidRPr="00336C11">
        <w:rPr>
          <w:sz w:val="22"/>
          <w:szCs w:val="22"/>
          <w:lang w:val="en-GB"/>
        </w:rPr>
        <w:t>CP</w:t>
      </w:r>
      <w:r w:rsidRPr="00336C11">
        <w:rPr>
          <w:sz w:val="22"/>
          <w:szCs w:val="22"/>
          <w:vertAlign w:val="subscript"/>
          <w:lang w:val="en-GB"/>
        </w:rPr>
        <w:t>2</w:t>
      </w:r>
      <w:r w:rsidRPr="00336C11">
        <w:rPr>
          <w:sz w:val="22"/>
          <w:szCs w:val="22"/>
          <w:lang w:val="en-GB"/>
        </w:rPr>
        <w:t xml:space="preserve"> </w:t>
      </w:r>
      <w:r>
        <w:rPr>
          <w:sz w:val="22"/>
          <w:szCs w:val="22"/>
          <w:lang w:val="en-GB"/>
        </w:rPr>
        <w:t>are a function of DFV and their expected payoffs EP1</w:t>
      </w:r>
      <w:r w:rsidR="009A1BC1">
        <w:rPr>
          <w:sz w:val="22"/>
          <w:szCs w:val="22"/>
          <w:lang w:val="en-GB"/>
        </w:rPr>
        <w:t>=</w:t>
      </w:r>
      <w:r>
        <w:rPr>
          <w:sz w:val="22"/>
          <w:szCs w:val="22"/>
          <w:lang w:val="en-GB"/>
        </w:rPr>
        <w:t xml:space="preserve"> EP2 are a function of PDFV. As </w:t>
      </w:r>
      <w:r w:rsidRPr="00336C11">
        <w:rPr>
          <w:sz w:val="22"/>
          <w:szCs w:val="22"/>
          <w:lang w:val="en-GB"/>
        </w:rPr>
        <w:t>PDFV&gt;DFV, CP</w:t>
      </w:r>
      <w:r w:rsidRPr="00336C11">
        <w:rPr>
          <w:sz w:val="22"/>
          <w:szCs w:val="22"/>
          <w:vertAlign w:val="subscript"/>
          <w:lang w:val="en-GB"/>
        </w:rPr>
        <w:t>1</w:t>
      </w:r>
      <w:r w:rsidR="009A1BC1">
        <w:rPr>
          <w:sz w:val="22"/>
          <w:szCs w:val="22"/>
          <w:lang w:val="en-GB"/>
        </w:rPr>
        <w:t>=</w:t>
      </w:r>
      <w:r w:rsidRPr="00336C11">
        <w:rPr>
          <w:sz w:val="22"/>
          <w:szCs w:val="22"/>
          <w:lang w:val="en-GB"/>
        </w:rPr>
        <w:t>CP</w:t>
      </w:r>
      <w:r w:rsidRPr="00336C11">
        <w:rPr>
          <w:sz w:val="22"/>
          <w:szCs w:val="22"/>
          <w:vertAlign w:val="subscript"/>
          <w:lang w:val="en-GB"/>
        </w:rPr>
        <w:t>2</w:t>
      </w:r>
      <w:r w:rsidR="009A1BC1" w:rsidRPr="00D7506C">
        <w:rPr>
          <w:sz w:val="22"/>
          <w:szCs w:val="22"/>
          <w:lang w:val="en-GB"/>
        </w:rPr>
        <w:t>&lt;</w:t>
      </w:r>
      <w:r w:rsidR="009A1BC1">
        <w:rPr>
          <w:sz w:val="22"/>
          <w:szCs w:val="22"/>
          <w:lang w:val="en-GB"/>
        </w:rPr>
        <w:t>E</w:t>
      </w:r>
      <w:r w:rsidRPr="00336C11">
        <w:rPr>
          <w:sz w:val="22"/>
          <w:szCs w:val="22"/>
          <w:lang w:val="en-GB"/>
        </w:rPr>
        <w:t>P</w:t>
      </w:r>
      <w:r w:rsidRPr="00336C11">
        <w:rPr>
          <w:sz w:val="22"/>
          <w:szCs w:val="22"/>
          <w:vertAlign w:val="subscript"/>
          <w:lang w:val="en-GB"/>
        </w:rPr>
        <w:t>1</w:t>
      </w:r>
      <w:r w:rsidR="009A1BC1">
        <w:rPr>
          <w:sz w:val="22"/>
          <w:szCs w:val="22"/>
          <w:lang w:val="en-GB"/>
        </w:rPr>
        <w:t>=</w:t>
      </w:r>
      <w:r w:rsidRPr="00336C11">
        <w:rPr>
          <w:sz w:val="22"/>
          <w:szCs w:val="22"/>
          <w:lang w:val="en-GB"/>
        </w:rPr>
        <w:t>EP</w:t>
      </w:r>
      <w:r w:rsidRPr="00336C11">
        <w:rPr>
          <w:sz w:val="22"/>
          <w:szCs w:val="22"/>
          <w:vertAlign w:val="subscript"/>
          <w:lang w:val="en-GB"/>
        </w:rPr>
        <w:t>2</w:t>
      </w:r>
      <w:r w:rsidRPr="00336C11">
        <w:rPr>
          <w:sz w:val="22"/>
          <w:szCs w:val="22"/>
          <w:lang w:val="en-GB"/>
        </w:rPr>
        <w:t xml:space="preserve">. </w:t>
      </w:r>
    </w:p>
    <w:p w14:paraId="61C9BA30" w14:textId="31C851BB" w:rsidR="00950738" w:rsidRDefault="00950738" w:rsidP="00D7506C">
      <w:pPr>
        <w:ind w:firstLine="567"/>
        <w:jc w:val="both"/>
        <w:rPr>
          <w:sz w:val="22"/>
          <w:szCs w:val="22"/>
          <w:lang w:val="en-GB"/>
        </w:rPr>
      </w:pPr>
      <w:r w:rsidRPr="00336C11">
        <w:rPr>
          <w:sz w:val="22"/>
          <w:szCs w:val="22"/>
          <w:lang w:val="en-GB"/>
        </w:rPr>
        <w:t>Under these circumstances,</w:t>
      </w:r>
      <w:r>
        <w:rPr>
          <w:sz w:val="22"/>
          <w:szCs w:val="22"/>
          <w:lang w:val="en-GB"/>
        </w:rPr>
        <w:t xml:space="preserve"> the</w:t>
      </w:r>
      <w:r w:rsidRPr="00336C11">
        <w:rPr>
          <w:sz w:val="22"/>
          <w:szCs w:val="22"/>
          <w:lang w:val="en-GB"/>
        </w:rPr>
        <w:t xml:space="preserve"> deadlocked shareholders would rationally be inclined to </w:t>
      </w:r>
      <w:r>
        <w:rPr>
          <w:sz w:val="22"/>
          <w:szCs w:val="22"/>
          <w:lang w:val="en-GB"/>
        </w:rPr>
        <w:t xml:space="preserve">find a way to </w:t>
      </w:r>
      <w:r w:rsidRPr="00336C11">
        <w:rPr>
          <w:sz w:val="22"/>
          <w:szCs w:val="22"/>
          <w:lang w:val="en-GB"/>
        </w:rPr>
        <w:t xml:space="preserve">leave the existing impasse behind them. Assuming the invariance of </w:t>
      </w:r>
      <w:r w:rsidR="009A1BC1">
        <w:rPr>
          <w:sz w:val="22"/>
          <w:szCs w:val="22"/>
          <w:lang w:val="en-GB"/>
        </w:rPr>
        <w:t xml:space="preserve">post-deadlock firm value </w:t>
      </w:r>
      <w:r w:rsidRPr="00336C11">
        <w:rPr>
          <w:sz w:val="22"/>
          <w:szCs w:val="22"/>
          <w:lang w:val="en-GB"/>
        </w:rPr>
        <w:t>PDFV regardless of whether the firm implements the business project suggested by either deadlocked shareholder,</w:t>
      </w:r>
      <w:r w:rsidRPr="00336C11" w:rsidDel="00E33328">
        <w:rPr>
          <w:sz w:val="22"/>
          <w:szCs w:val="22"/>
          <w:lang w:val="en-GB"/>
        </w:rPr>
        <w:t xml:space="preserve"> </w:t>
      </w:r>
      <w:r w:rsidRPr="00336C11">
        <w:rPr>
          <w:sz w:val="22"/>
          <w:szCs w:val="22"/>
          <w:lang w:val="en-GB"/>
        </w:rPr>
        <w:t xml:space="preserve">the deadlocked shareholders should be rationally indifferent as to which path to follow </w:t>
      </w:r>
      <w:r w:rsidR="009A1BC1">
        <w:rPr>
          <w:sz w:val="22"/>
          <w:szCs w:val="22"/>
          <w:lang w:val="en-GB"/>
        </w:rPr>
        <w:t xml:space="preserve">in order to </w:t>
      </w:r>
      <w:r w:rsidRPr="00336C11">
        <w:rPr>
          <w:sz w:val="22"/>
          <w:szCs w:val="22"/>
          <w:lang w:val="en-GB"/>
        </w:rPr>
        <w:t>overcome the deadlock</w:t>
      </w:r>
      <w:r>
        <w:rPr>
          <w:sz w:val="22"/>
          <w:szCs w:val="22"/>
          <w:lang w:val="en-GB"/>
        </w:rPr>
        <w:t>.</w:t>
      </w:r>
      <w:r w:rsidRPr="00336C11">
        <w:rPr>
          <w:sz w:val="22"/>
          <w:szCs w:val="22"/>
          <w:lang w:val="en-GB"/>
        </w:rPr>
        <w:t xml:space="preserve"> </w:t>
      </w:r>
      <w:r>
        <w:rPr>
          <w:sz w:val="22"/>
          <w:szCs w:val="22"/>
          <w:lang w:val="en-GB"/>
        </w:rPr>
        <w:t>E</w:t>
      </w:r>
      <w:r w:rsidRPr="00336C11">
        <w:rPr>
          <w:sz w:val="22"/>
          <w:szCs w:val="22"/>
          <w:lang w:val="en-GB"/>
        </w:rPr>
        <w:t xml:space="preserve">ither imaginable course of action would </w:t>
      </w:r>
      <w:r>
        <w:rPr>
          <w:sz w:val="22"/>
          <w:szCs w:val="22"/>
          <w:lang w:val="en-GB"/>
        </w:rPr>
        <w:t xml:space="preserve">in fact </w:t>
      </w:r>
      <w:r w:rsidRPr="00336C11">
        <w:rPr>
          <w:sz w:val="22"/>
          <w:szCs w:val="22"/>
          <w:lang w:val="en-GB"/>
        </w:rPr>
        <w:t xml:space="preserve">result in an identical increase in their </w:t>
      </w:r>
      <w:r w:rsidR="009A1BC1">
        <w:rPr>
          <w:sz w:val="22"/>
          <w:szCs w:val="22"/>
          <w:lang w:val="en-GB"/>
        </w:rPr>
        <w:t xml:space="preserve">respective </w:t>
      </w:r>
      <w:r w:rsidRPr="00336C11">
        <w:rPr>
          <w:sz w:val="22"/>
          <w:szCs w:val="22"/>
          <w:lang w:val="en-GB"/>
        </w:rPr>
        <w:t>payoffs.</w:t>
      </w:r>
    </w:p>
    <w:p w14:paraId="12F8C0F2" w14:textId="6CF43398" w:rsidR="00950738" w:rsidRPr="00336C11" w:rsidRDefault="00950738" w:rsidP="00950738">
      <w:pPr>
        <w:ind w:firstLine="567"/>
        <w:jc w:val="both"/>
        <w:rPr>
          <w:sz w:val="22"/>
          <w:szCs w:val="22"/>
          <w:lang w:val="en-GB"/>
        </w:rPr>
      </w:pPr>
      <w:r>
        <w:rPr>
          <w:sz w:val="22"/>
          <w:szCs w:val="22"/>
          <w:lang w:val="en-GB"/>
        </w:rPr>
        <w:t>Yet, r</w:t>
      </w:r>
      <w:r w:rsidRPr="00336C11">
        <w:rPr>
          <w:sz w:val="22"/>
          <w:szCs w:val="22"/>
          <w:lang w:val="en-GB"/>
        </w:rPr>
        <w:t>eal business life shows</w:t>
      </w:r>
      <w:r>
        <w:rPr>
          <w:sz w:val="22"/>
          <w:szCs w:val="22"/>
          <w:lang w:val="en-GB"/>
        </w:rPr>
        <w:t xml:space="preserve"> </w:t>
      </w:r>
      <w:r w:rsidRPr="00336C11">
        <w:rPr>
          <w:sz w:val="22"/>
          <w:szCs w:val="22"/>
          <w:lang w:val="en-GB"/>
        </w:rPr>
        <w:t>in practice</w:t>
      </w:r>
      <w:r>
        <w:rPr>
          <w:sz w:val="22"/>
          <w:szCs w:val="22"/>
          <w:lang w:val="en-GB"/>
        </w:rPr>
        <w:t xml:space="preserve"> the deadlocked shareholders would struggle at achieving that goal in practice</w:t>
      </w:r>
      <w:r w:rsidRPr="00336C11">
        <w:rPr>
          <w:sz w:val="22"/>
          <w:szCs w:val="22"/>
          <w:lang w:val="en-GB"/>
        </w:rPr>
        <w:t>.</w:t>
      </w:r>
      <w:r w:rsidRPr="00336C11">
        <w:rPr>
          <w:rStyle w:val="FootnoteReference"/>
          <w:rFonts w:ascii="Times New Roman" w:hAnsi="Times New Roman"/>
          <w:sz w:val="22"/>
          <w:szCs w:val="22"/>
          <w:lang w:val="en-US"/>
        </w:rPr>
        <w:footnoteReference w:id="36"/>
      </w:r>
      <w:r w:rsidRPr="00336C11">
        <w:rPr>
          <w:sz w:val="22"/>
          <w:szCs w:val="22"/>
          <w:lang w:val="en-GB"/>
        </w:rPr>
        <w:t xml:space="preserve"> </w:t>
      </w:r>
      <w:r>
        <w:rPr>
          <w:sz w:val="22"/>
          <w:szCs w:val="22"/>
          <w:lang w:val="en-GB"/>
        </w:rPr>
        <w:t>E</w:t>
      </w:r>
      <w:r w:rsidRPr="00336C11">
        <w:rPr>
          <w:sz w:val="22"/>
          <w:szCs w:val="22"/>
          <w:lang w:val="en-GB"/>
        </w:rPr>
        <w:t xml:space="preserve">xogenous factors </w:t>
      </w:r>
      <w:r>
        <w:rPr>
          <w:sz w:val="22"/>
          <w:szCs w:val="22"/>
          <w:lang w:val="en-GB"/>
        </w:rPr>
        <w:t xml:space="preserve">do in fact often </w:t>
      </w:r>
      <w:r w:rsidR="009A1BC1">
        <w:rPr>
          <w:sz w:val="22"/>
          <w:szCs w:val="22"/>
          <w:lang w:val="en-GB"/>
        </w:rPr>
        <w:t>s</w:t>
      </w:r>
      <w:r w:rsidRPr="00336C11">
        <w:rPr>
          <w:sz w:val="22"/>
          <w:szCs w:val="22"/>
          <w:lang w:val="en-GB"/>
        </w:rPr>
        <w:t xml:space="preserve">tand in the way of </w:t>
      </w:r>
      <w:r w:rsidR="009A1BC1">
        <w:rPr>
          <w:sz w:val="22"/>
          <w:szCs w:val="22"/>
          <w:lang w:val="en-GB"/>
        </w:rPr>
        <w:t>finding a mutually profitable agreement</w:t>
      </w:r>
      <w:r w:rsidRPr="00336C11">
        <w:rPr>
          <w:sz w:val="22"/>
          <w:szCs w:val="22"/>
          <w:lang w:val="en-GB"/>
        </w:rPr>
        <w:t xml:space="preserve">, thereby making it impossible to find a way out of the </w:t>
      </w:r>
      <w:r>
        <w:rPr>
          <w:sz w:val="22"/>
          <w:szCs w:val="22"/>
          <w:lang w:val="en-GB"/>
        </w:rPr>
        <w:t xml:space="preserve">currently existing </w:t>
      </w:r>
      <w:r w:rsidRPr="00336C11">
        <w:rPr>
          <w:sz w:val="22"/>
          <w:szCs w:val="22"/>
          <w:lang w:val="en-GB"/>
        </w:rPr>
        <w:t>paralysis.</w:t>
      </w:r>
      <w:r w:rsidRPr="00336C11">
        <w:rPr>
          <w:rStyle w:val="FootnoteReference"/>
          <w:rFonts w:ascii="Times New Roman" w:hAnsi="Times New Roman"/>
          <w:sz w:val="22"/>
          <w:szCs w:val="22"/>
          <w:lang w:val="en-GB"/>
        </w:rPr>
        <w:footnoteReference w:id="37"/>
      </w:r>
      <w:r>
        <w:rPr>
          <w:sz w:val="22"/>
          <w:szCs w:val="22"/>
          <w:lang w:val="en-GB"/>
        </w:rPr>
        <w:t xml:space="preserve"> </w:t>
      </w:r>
    </w:p>
    <w:p w14:paraId="6C0EC0E7" w14:textId="528F2FA4" w:rsidR="00950738" w:rsidRDefault="00950738" w:rsidP="00950738">
      <w:pPr>
        <w:ind w:firstLine="567"/>
        <w:jc w:val="both"/>
        <w:rPr>
          <w:sz w:val="22"/>
          <w:szCs w:val="22"/>
          <w:lang w:val="en-GB"/>
        </w:rPr>
      </w:pPr>
      <w:r w:rsidRPr="00336C11">
        <w:rPr>
          <w:sz w:val="22"/>
          <w:szCs w:val="22"/>
          <w:lang w:val="en-GB"/>
        </w:rPr>
        <w:t>Insofar as differences among shareholders are irreconcilable, “voice” as a strategy to address the involution of the business relationship is bound to either be silenced or anyway remain unheard</w:t>
      </w:r>
      <w:r>
        <w:rPr>
          <w:sz w:val="22"/>
          <w:szCs w:val="22"/>
          <w:lang w:val="en-GB"/>
        </w:rPr>
        <w:t xml:space="preserve">, rendering </w:t>
      </w:r>
      <w:r w:rsidRPr="00336C11">
        <w:rPr>
          <w:sz w:val="22"/>
          <w:szCs w:val="22"/>
          <w:lang w:val="en-GB"/>
        </w:rPr>
        <w:t>“exit” the only avenue available out of the impasse.</w:t>
      </w:r>
      <w:r w:rsidRPr="00336C11">
        <w:rPr>
          <w:rStyle w:val="FootnoteReference"/>
          <w:rFonts w:ascii="Times New Roman" w:hAnsi="Times New Roman"/>
          <w:sz w:val="22"/>
          <w:szCs w:val="22"/>
          <w:lang w:val="en-GB"/>
        </w:rPr>
        <w:footnoteReference w:id="38"/>
      </w:r>
      <w:r>
        <w:rPr>
          <w:sz w:val="22"/>
          <w:szCs w:val="22"/>
          <w:lang w:val="en-GB"/>
        </w:rPr>
        <w:t xml:space="preserve"> With other ways out </w:t>
      </w:r>
      <w:r w:rsidR="009A1BC1">
        <w:rPr>
          <w:sz w:val="22"/>
          <w:szCs w:val="22"/>
          <w:lang w:val="en-GB"/>
        </w:rPr>
        <w:t xml:space="preserve">of the shareholder deadlock being </w:t>
      </w:r>
      <w:r w:rsidR="009A1BC1" w:rsidRPr="00D7506C">
        <w:rPr>
          <w:i/>
          <w:sz w:val="22"/>
          <w:szCs w:val="22"/>
          <w:lang w:val="en-GB"/>
        </w:rPr>
        <w:t>a priori</w:t>
      </w:r>
      <w:r w:rsidR="009A1BC1">
        <w:rPr>
          <w:sz w:val="22"/>
          <w:szCs w:val="22"/>
          <w:lang w:val="en-GB"/>
        </w:rPr>
        <w:t xml:space="preserve"> </w:t>
      </w:r>
      <w:r>
        <w:rPr>
          <w:sz w:val="22"/>
          <w:szCs w:val="22"/>
          <w:lang w:val="en-GB"/>
        </w:rPr>
        <w:t>precluded</w:t>
      </w:r>
      <w:r w:rsidRPr="00336C11">
        <w:rPr>
          <w:sz w:val="22"/>
          <w:szCs w:val="22"/>
          <w:lang w:val="en-GB"/>
        </w:rPr>
        <w:t>,</w:t>
      </w:r>
      <w:r w:rsidRPr="00336C11">
        <w:rPr>
          <w:rStyle w:val="FootnoteReference"/>
          <w:rFonts w:ascii="Times New Roman" w:hAnsi="Times New Roman"/>
          <w:sz w:val="22"/>
          <w:szCs w:val="22"/>
          <w:lang w:val="en-GB"/>
        </w:rPr>
        <w:footnoteReference w:id="39"/>
      </w:r>
      <w:r w:rsidRPr="00336C11">
        <w:rPr>
          <w:sz w:val="22"/>
          <w:szCs w:val="22"/>
          <w:lang w:val="en-GB"/>
        </w:rPr>
        <w:t xml:space="preserve"> exit here means a “buyout”. Broadly speaking, a buyout is a transaction whereby one shareholder buys out the other shareholder</w:t>
      </w:r>
      <w:r>
        <w:rPr>
          <w:sz w:val="22"/>
          <w:szCs w:val="22"/>
          <w:lang w:val="en-GB"/>
        </w:rPr>
        <w:t xml:space="preserve"> leading to the situation where </w:t>
      </w:r>
      <w:r w:rsidRPr="00336C11">
        <w:rPr>
          <w:sz w:val="22"/>
          <w:szCs w:val="22"/>
          <w:lang w:val="en-GB"/>
        </w:rPr>
        <w:t xml:space="preserve">control- and cash-flow rights </w:t>
      </w:r>
      <w:bookmarkStart w:id="27" w:name="_Hlk30001914"/>
      <w:r w:rsidRPr="00336C11">
        <w:rPr>
          <w:sz w:val="22"/>
          <w:szCs w:val="22"/>
          <w:lang w:val="en-GB"/>
        </w:rPr>
        <w:t xml:space="preserve">eventually </w:t>
      </w:r>
      <w:r>
        <w:rPr>
          <w:sz w:val="22"/>
          <w:szCs w:val="22"/>
          <w:lang w:val="en-GB"/>
        </w:rPr>
        <w:t xml:space="preserve">end </w:t>
      </w:r>
      <w:r w:rsidRPr="00336C11">
        <w:rPr>
          <w:sz w:val="22"/>
          <w:szCs w:val="22"/>
          <w:lang w:val="en-GB"/>
        </w:rPr>
        <w:t>be</w:t>
      </w:r>
      <w:r>
        <w:rPr>
          <w:sz w:val="22"/>
          <w:szCs w:val="22"/>
          <w:lang w:val="en-GB"/>
        </w:rPr>
        <w:t>ing</w:t>
      </w:r>
      <w:r w:rsidRPr="00336C11">
        <w:rPr>
          <w:sz w:val="22"/>
          <w:szCs w:val="22"/>
          <w:lang w:val="en-GB"/>
        </w:rPr>
        <w:t xml:space="preserve"> in the hands of one shareholder</w:t>
      </w:r>
      <w:bookmarkEnd w:id="27"/>
      <w:r w:rsidRPr="00336C11">
        <w:rPr>
          <w:sz w:val="22"/>
          <w:szCs w:val="22"/>
          <w:lang w:val="en-GB"/>
        </w:rPr>
        <w:t xml:space="preserve"> only</w:t>
      </w:r>
      <w:r>
        <w:rPr>
          <w:sz w:val="22"/>
          <w:szCs w:val="22"/>
          <w:lang w:val="en-GB"/>
        </w:rPr>
        <w:t xml:space="preserve">. This shareholder </w:t>
      </w:r>
      <w:r w:rsidRPr="00336C11">
        <w:rPr>
          <w:sz w:val="22"/>
          <w:szCs w:val="22"/>
          <w:lang w:val="en-GB"/>
        </w:rPr>
        <w:t>will then have free reins in implementing his own business project</w:t>
      </w:r>
      <w:r>
        <w:rPr>
          <w:sz w:val="22"/>
          <w:szCs w:val="22"/>
          <w:lang w:val="en-GB"/>
        </w:rPr>
        <w:t xml:space="preserve"> and eventually </w:t>
      </w:r>
      <w:r w:rsidRPr="00336C11">
        <w:rPr>
          <w:sz w:val="22"/>
          <w:szCs w:val="22"/>
          <w:lang w:val="en-GB"/>
        </w:rPr>
        <w:t>captur</w:t>
      </w:r>
      <w:r>
        <w:rPr>
          <w:sz w:val="22"/>
          <w:szCs w:val="22"/>
          <w:lang w:val="en-GB"/>
        </w:rPr>
        <w:t xml:space="preserve">e </w:t>
      </w:r>
      <w:r w:rsidRPr="00336C11">
        <w:rPr>
          <w:sz w:val="22"/>
          <w:szCs w:val="22"/>
          <w:lang w:val="en-GB"/>
        </w:rPr>
        <w:t>post-deadlock firm value in its entirety</w:t>
      </w:r>
      <w:r w:rsidR="00431BD2">
        <w:rPr>
          <w:rStyle w:val="FootnoteReference"/>
          <w:szCs w:val="22"/>
          <w:lang w:val="en-GB"/>
        </w:rPr>
        <w:footnoteReference w:id="40"/>
      </w:r>
      <w:r>
        <w:rPr>
          <w:sz w:val="22"/>
          <w:szCs w:val="22"/>
          <w:lang w:val="en-GB"/>
        </w:rPr>
        <w:t xml:space="preserve"> </w:t>
      </w:r>
      <w:r w:rsidR="00431BD2">
        <w:rPr>
          <w:sz w:val="22"/>
          <w:szCs w:val="22"/>
          <w:lang w:val="en-GB"/>
        </w:rPr>
        <w:t xml:space="preserve">– </w:t>
      </w:r>
      <w:r w:rsidRPr="00D0186B">
        <w:rPr>
          <w:i/>
          <w:sz w:val="22"/>
          <w:szCs w:val="22"/>
          <w:lang w:val="en-GB"/>
        </w:rPr>
        <w:t>recte</w:t>
      </w:r>
      <w:r>
        <w:rPr>
          <w:sz w:val="22"/>
          <w:szCs w:val="22"/>
          <w:lang w:val="en-GB"/>
        </w:rPr>
        <w:t>: almost its entirety</w:t>
      </w:r>
      <w:r w:rsidR="00431BD2">
        <w:rPr>
          <w:sz w:val="22"/>
          <w:szCs w:val="22"/>
          <w:lang w:val="en-GB"/>
        </w:rPr>
        <w:t>.</w:t>
      </w:r>
      <w:r w:rsidRPr="00336C11">
        <w:rPr>
          <w:rStyle w:val="FootnoteReference"/>
          <w:rFonts w:ascii="Times New Roman" w:hAnsi="Times New Roman"/>
          <w:sz w:val="22"/>
          <w:szCs w:val="22"/>
          <w:lang w:val="en-GB"/>
        </w:rPr>
        <w:footnoteReference w:id="41"/>
      </w:r>
      <w:r>
        <w:rPr>
          <w:sz w:val="22"/>
          <w:szCs w:val="22"/>
          <w:lang w:val="en-GB"/>
        </w:rPr>
        <w:t xml:space="preserve"> </w:t>
      </w:r>
      <w:r w:rsidRPr="00336C11">
        <w:rPr>
          <w:sz w:val="22"/>
          <w:szCs w:val="22"/>
          <w:lang w:val="en-GB"/>
        </w:rPr>
        <w:t xml:space="preserve"> </w:t>
      </w:r>
    </w:p>
    <w:p w14:paraId="6FAC59B2" w14:textId="77777777" w:rsidR="000A00C1" w:rsidRDefault="000A00C1" w:rsidP="000A00C1">
      <w:pPr>
        <w:ind w:firstLine="567"/>
        <w:jc w:val="both"/>
        <w:rPr>
          <w:sz w:val="22"/>
          <w:szCs w:val="22"/>
          <w:lang w:val="en-GB"/>
        </w:rPr>
      </w:pPr>
      <w:r>
        <w:rPr>
          <w:sz w:val="22"/>
          <w:szCs w:val="22"/>
          <w:lang w:val="en-GB"/>
        </w:rPr>
        <w:lastRenderedPageBreak/>
        <w:t xml:space="preserve">A buyout does obviously requires the deadlocked shareholders of </w:t>
      </w:r>
      <w:r w:rsidRPr="00336C11">
        <w:rPr>
          <w:sz w:val="22"/>
          <w:szCs w:val="22"/>
          <w:lang w:val="en-GB"/>
        </w:rPr>
        <w:t xml:space="preserve">setting the buyout </w:t>
      </w:r>
      <w:r>
        <w:rPr>
          <w:sz w:val="22"/>
          <w:szCs w:val="22"/>
          <w:lang w:val="en-GB"/>
        </w:rPr>
        <w:t xml:space="preserve">terms – say, by way of simplification, the </w:t>
      </w:r>
      <w:r w:rsidRPr="00336C11">
        <w:rPr>
          <w:sz w:val="22"/>
          <w:szCs w:val="22"/>
          <w:lang w:val="en-GB"/>
        </w:rPr>
        <w:t>price.</w:t>
      </w:r>
      <w:r>
        <w:rPr>
          <w:rStyle w:val="FootnoteReference"/>
          <w:szCs w:val="22"/>
          <w:lang w:val="en-GB"/>
        </w:rPr>
        <w:footnoteReference w:id="42"/>
      </w:r>
      <w:r w:rsidRPr="00336C11">
        <w:rPr>
          <w:sz w:val="22"/>
          <w:szCs w:val="22"/>
          <w:lang w:val="en-GB"/>
        </w:rPr>
        <w:t xml:space="preserve"> </w:t>
      </w:r>
      <w:r>
        <w:rPr>
          <w:sz w:val="22"/>
          <w:szCs w:val="22"/>
          <w:lang w:val="en-GB"/>
        </w:rPr>
        <w:t>To this end, in some instances, e</w:t>
      </w:r>
      <w:r w:rsidRPr="00336C11">
        <w:rPr>
          <w:sz w:val="22"/>
          <w:szCs w:val="22"/>
          <w:lang w:val="en-GB"/>
        </w:rPr>
        <w:t xml:space="preserve">ither deadlocked shareholder can </w:t>
      </w:r>
      <w:r>
        <w:rPr>
          <w:sz w:val="22"/>
          <w:szCs w:val="22"/>
          <w:lang w:val="en-GB"/>
        </w:rPr>
        <w:t xml:space="preserve">unilaterally </w:t>
      </w:r>
      <w:r w:rsidRPr="00336C11">
        <w:rPr>
          <w:sz w:val="22"/>
          <w:szCs w:val="22"/>
          <w:lang w:val="en-GB"/>
        </w:rPr>
        <w:t>ask for a third party, generally a court,</w:t>
      </w:r>
      <w:r w:rsidRPr="00336C11">
        <w:rPr>
          <w:rStyle w:val="FootnoteReference"/>
          <w:rFonts w:ascii="Times New Roman" w:hAnsi="Times New Roman"/>
          <w:sz w:val="22"/>
          <w:szCs w:val="22"/>
          <w:lang w:val="en-GB"/>
        </w:rPr>
        <w:footnoteReference w:id="43"/>
      </w:r>
      <w:r w:rsidRPr="00336C11">
        <w:rPr>
          <w:sz w:val="22"/>
          <w:szCs w:val="22"/>
          <w:lang w:val="en-GB"/>
        </w:rPr>
        <w:t xml:space="preserve"> to </w:t>
      </w:r>
      <w:r>
        <w:rPr>
          <w:sz w:val="22"/>
          <w:szCs w:val="22"/>
          <w:lang w:val="en-GB"/>
        </w:rPr>
        <w:t>perform that task</w:t>
      </w:r>
      <w:r w:rsidRPr="00336C11">
        <w:rPr>
          <w:sz w:val="22"/>
          <w:szCs w:val="22"/>
          <w:lang w:val="en-GB"/>
        </w:rPr>
        <w:t xml:space="preserve">. </w:t>
      </w:r>
      <w:r>
        <w:rPr>
          <w:sz w:val="22"/>
          <w:szCs w:val="22"/>
          <w:lang w:val="en-GB"/>
        </w:rPr>
        <w:t>If this avenue is unavailable, the e</w:t>
      </w:r>
      <w:r w:rsidRPr="00336C11">
        <w:rPr>
          <w:sz w:val="22"/>
          <w:szCs w:val="22"/>
          <w:lang w:val="en-GB"/>
        </w:rPr>
        <w:t>xternaliz</w:t>
      </w:r>
      <w:r>
        <w:rPr>
          <w:sz w:val="22"/>
          <w:szCs w:val="22"/>
          <w:lang w:val="en-GB"/>
        </w:rPr>
        <w:t xml:space="preserve">ation of this </w:t>
      </w:r>
      <w:r w:rsidRPr="00336C11">
        <w:rPr>
          <w:sz w:val="22"/>
          <w:szCs w:val="22"/>
          <w:lang w:val="en-GB"/>
        </w:rPr>
        <w:t xml:space="preserve">task </w:t>
      </w:r>
      <w:r>
        <w:rPr>
          <w:sz w:val="22"/>
          <w:szCs w:val="22"/>
          <w:lang w:val="en-GB"/>
        </w:rPr>
        <w:t xml:space="preserve">would </w:t>
      </w:r>
      <w:r w:rsidRPr="00336C11">
        <w:rPr>
          <w:sz w:val="22"/>
          <w:szCs w:val="22"/>
          <w:lang w:val="en-GB"/>
        </w:rPr>
        <w:t>postulate an agreement among the deadlocked shareholders</w:t>
      </w:r>
      <w:r>
        <w:rPr>
          <w:sz w:val="22"/>
          <w:szCs w:val="22"/>
          <w:lang w:val="en-GB"/>
        </w:rPr>
        <w:t>, which, however, may lack due to a number of reasons.</w:t>
      </w:r>
      <w:r w:rsidRPr="00336C11">
        <w:rPr>
          <w:rStyle w:val="FootnoteReference"/>
          <w:rFonts w:ascii="Times New Roman" w:hAnsi="Times New Roman"/>
          <w:sz w:val="22"/>
          <w:szCs w:val="22"/>
          <w:lang w:val="en-GB"/>
        </w:rPr>
        <w:footnoteReference w:id="44"/>
      </w:r>
      <w:r w:rsidRPr="00336C11">
        <w:rPr>
          <w:sz w:val="22"/>
          <w:szCs w:val="22"/>
          <w:lang w:val="en-GB"/>
        </w:rPr>
        <w:t xml:space="preserve"> </w:t>
      </w:r>
    </w:p>
    <w:p w14:paraId="184416EE" w14:textId="5F7F8703" w:rsidR="000A00C1" w:rsidRPr="00497127" w:rsidRDefault="000A00C1">
      <w:pPr>
        <w:ind w:firstLine="567"/>
        <w:jc w:val="both"/>
        <w:rPr>
          <w:sz w:val="22"/>
          <w:szCs w:val="22"/>
          <w:lang w:val="en-GB"/>
        </w:rPr>
      </w:pPr>
      <w:r>
        <w:rPr>
          <w:sz w:val="22"/>
          <w:szCs w:val="22"/>
          <w:lang w:val="en-GB"/>
        </w:rPr>
        <w:t>Under these circumstances, t</w:t>
      </w:r>
      <w:r w:rsidRPr="00336C11">
        <w:rPr>
          <w:sz w:val="22"/>
          <w:szCs w:val="22"/>
          <w:lang w:val="en-GB"/>
        </w:rPr>
        <w:t xml:space="preserve">he </w:t>
      </w:r>
      <w:r>
        <w:rPr>
          <w:sz w:val="22"/>
          <w:szCs w:val="22"/>
          <w:lang w:val="en-GB"/>
        </w:rPr>
        <w:t xml:space="preserve">default solution for the deadlocked </w:t>
      </w:r>
      <w:r w:rsidRPr="00336C11">
        <w:rPr>
          <w:sz w:val="22"/>
          <w:szCs w:val="22"/>
          <w:lang w:val="en-GB"/>
        </w:rPr>
        <w:t xml:space="preserve">shareholders </w:t>
      </w:r>
      <w:r>
        <w:rPr>
          <w:sz w:val="22"/>
          <w:szCs w:val="22"/>
          <w:lang w:val="en-GB"/>
        </w:rPr>
        <w:t xml:space="preserve">would then consist in setting </w:t>
      </w:r>
      <w:r w:rsidRPr="00336C11">
        <w:rPr>
          <w:sz w:val="22"/>
          <w:szCs w:val="22"/>
          <w:lang w:val="en-GB"/>
        </w:rPr>
        <w:t xml:space="preserve">the buyout terms </w:t>
      </w:r>
      <w:r>
        <w:rPr>
          <w:sz w:val="22"/>
          <w:szCs w:val="22"/>
          <w:lang w:val="en-GB"/>
        </w:rPr>
        <w:t xml:space="preserve">by resorting to </w:t>
      </w:r>
      <w:r w:rsidRPr="00336C11">
        <w:rPr>
          <w:sz w:val="22"/>
          <w:szCs w:val="22"/>
          <w:lang w:val="en-GB"/>
        </w:rPr>
        <w:t xml:space="preserve">negotiations that, being completely unplanned, </w:t>
      </w:r>
      <w:r>
        <w:rPr>
          <w:sz w:val="22"/>
          <w:szCs w:val="22"/>
          <w:lang w:val="en-GB"/>
        </w:rPr>
        <w:t>are “</w:t>
      </w:r>
      <w:r w:rsidRPr="00336C11">
        <w:rPr>
          <w:sz w:val="22"/>
          <w:szCs w:val="22"/>
          <w:lang w:val="en-GB"/>
        </w:rPr>
        <w:t>extemporary</w:t>
      </w:r>
      <w:r>
        <w:rPr>
          <w:sz w:val="22"/>
          <w:szCs w:val="22"/>
          <w:lang w:val="en-GB"/>
        </w:rPr>
        <w:t>”</w:t>
      </w:r>
      <w:r w:rsidRPr="00336C11">
        <w:rPr>
          <w:sz w:val="22"/>
          <w:szCs w:val="22"/>
          <w:lang w:val="en-GB"/>
        </w:rPr>
        <w:t xml:space="preserve"> by nature. </w:t>
      </w:r>
      <w:r>
        <w:rPr>
          <w:iCs/>
          <w:sz w:val="22"/>
          <w:szCs w:val="22"/>
          <w:lang w:val="en-GB"/>
        </w:rPr>
        <w:t>Contract</w:t>
      </w:r>
      <w:r w:rsidR="002A2261">
        <w:rPr>
          <w:iCs/>
          <w:sz w:val="22"/>
          <w:szCs w:val="22"/>
          <w:lang w:val="en-GB"/>
        </w:rPr>
        <w:t>, however,</w:t>
      </w:r>
      <w:r>
        <w:rPr>
          <w:iCs/>
          <w:sz w:val="22"/>
          <w:szCs w:val="22"/>
          <w:lang w:val="en-GB"/>
        </w:rPr>
        <w:t xml:space="preserve"> </w:t>
      </w:r>
      <w:r w:rsidR="000C0FAE">
        <w:rPr>
          <w:iCs/>
          <w:sz w:val="22"/>
          <w:szCs w:val="22"/>
          <w:lang w:val="en-GB"/>
        </w:rPr>
        <w:t xml:space="preserve">can make the bed for an alternative through </w:t>
      </w:r>
      <w:r>
        <w:rPr>
          <w:iCs/>
          <w:sz w:val="22"/>
          <w:szCs w:val="22"/>
          <w:lang w:val="en-GB"/>
        </w:rPr>
        <w:t xml:space="preserve">Russian Roulette provisions and the ensuing buyout procedure. </w:t>
      </w:r>
    </w:p>
    <w:p w14:paraId="0F85ED41" w14:textId="0A22C6F3" w:rsidR="00F42EB1" w:rsidRDefault="003441FD" w:rsidP="006870D5">
      <w:pPr>
        <w:pStyle w:val="Heading1"/>
        <w:numPr>
          <w:ilvl w:val="0"/>
          <w:numId w:val="28"/>
        </w:numPr>
        <w:spacing w:before="1200" w:after="240"/>
        <w:ind w:left="567" w:hanging="567"/>
        <w:rPr>
          <w:i/>
          <w:iCs/>
          <w:smallCaps w:val="0"/>
          <w:sz w:val="22"/>
          <w:szCs w:val="22"/>
          <w:lang w:val="en-GB"/>
        </w:rPr>
      </w:pPr>
      <w:bookmarkStart w:id="28" w:name="_Toc66125107"/>
      <w:bookmarkStart w:id="29" w:name="_Toc67392671"/>
      <w:r>
        <w:rPr>
          <w:i/>
          <w:iCs/>
          <w:smallCaps w:val="0"/>
          <w:sz w:val="22"/>
          <w:szCs w:val="22"/>
          <w:lang w:val="en-GB"/>
        </w:rPr>
        <w:t xml:space="preserve">The Default Solution: </w:t>
      </w:r>
      <w:r w:rsidR="00F42EB1" w:rsidRPr="006870D5">
        <w:rPr>
          <w:i/>
          <w:iCs/>
          <w:smallCaps w:val="0"/>
          <w:sz w:val="22"/>
          <w:szCs w:val="22"/>
          <w:lang w:val="en-GB"/>
        </w:rPr>
        <w:t>Extemporary Negotiations</w:t>
      </w:r>
      <w:bookmarkEnd w:id="28"/>
      <w:bookmarkEnd w:id="29"/>
      <w:r w:rsidR="00F42EB1" w:rsidRPr="006870D5">
        <w:rPr>
          <w:i/>
          <w:iCs/>
          <w:smallCaps w:val="0"/>
          <w:sz w:val="22"/>
          <w:szCs w:val="22"/>
          <w:lang w:val="en-GB"/>
        </w:rPr>
        <w:t xml:space="preserve"> </w:t>
      </w:r>
      <w:bookmarkEnd w:id="25"/>
      <w:bookmarkEnd w:id="26"/>
    </w:p>
    <w:p w14:paraId="4A7BBB40" w14:textId="2C19DA6D" w:rsidR="000C0FAE" w:rsidRDefault="00694B46" w:rsidP="00694B46">
      <w:pPr>
        <w:ind w:firstLine="567"/>
        <w:jc w:val="both"/>
        <w:rPr>
          <w:sz w:val="22"/>
          <w:szCs w:val="22"/>
          <w:lang w:val="en-US"/>
        </w:rPr>
      </w:pPr>
      <w:r>
        <w:rPr>
          <w:sz w:val="22"/>
          <w:szCs w:val="22"/>
          <w:lang w:val="en-US"/>
        </w:rPr>
        <w:t>E</w:t>
      </w:r>
      <w:r w:rsidRPr="001B5F49">
        <w:rPr>
          <w:sz w:val="22"/>
          <w:szCs w:val="22"/>
          <w:lang w:val="en-US"/>
        </w:rPr>
        <w:t xml:space="preserve">xtemporary negotiations </w:t>
      </w:r>
      <w:r w:rsidR="000C0FAE">
        <w:rPr>
          <w:sz w:val="22"/>
          <w:szCs w:val="22"/>
          <w:lang w:val="en-US"/>
        </w:rPr>
        <w:t xml:space="preserve">imply that the deadlocked shareholder will bargain to set the buyout terms. </w:t>
      </w:r>
    </w:p>
    <w:p w14:paraId="7D5E95AD" w14:textId="76CE98CE" w:rsidR="00694B46" w:rsidRDefault="000C0FAE" w:rsidP="00694B46">
      <w:pPr>
        <w:ind w:firstLine="567"/>
        <w:jc w:val="both"/>
        <w:rPr>
          <w:sz w:val="22"/>
          <w:szCs w:val="22"/>
          <w:lang w:val="en-US"/>
        </w:rPr>
      </w:pPr>
      <w:r>
        <w:rPr>
          <w:sz w:val="22"/>
          <w:szCs w:val="22"/>
          <w:lang w:val="en-US"/>
        </w:rPr>
        <w:t xml:space="preserve">Extemporary </w:t>
      </w:r>
      <w:r>
        <w:rPr>
          <w:sz w:val="22"/>
          <w:szCs w:val="22"/>
          <w:lang w:val="it-IT"/>
        </w:rPr>
        <w:t xml:space="preserve">negotiations </w:t>
      </w:r>
      <w:r w:rsidRPr="001B5F49">
        <w:rPr>
          <w:sz w:val="22"/>
          <w:szCs w:val="22"/>
          <w:lang w:val="en-US"/>
        </w:rPr>
        <w:t xml:space="preserve">generate significant </w:t>
      </w:r>
      <w:r w:rsidR="00D94ADB">
        <w:rPr>
          <w:sz w:val="22"/>
          <w:szCs w:val="22"/>
          <w:lang w:val="en-US"/>
        </w:rPr>
        <w:t xml:space="preserve">administrative </w:t>
      </w:r>
      <w:r w:rsidRPr="001B5F49">
        <w:rPr>
          <w:sz w:val="22"/>
          <w:szCs w:val="22"/>
          <w:lang w:val="en-US"/>
        </w:rPr>
        <w:t>costs</w:t>
      </w:r>
      <w:r>
        <w:rPr>
          <w:sz w:val="22"/>
          <w:szCs w:val="22"/>
          <w:lang w:val="en-US"/>
        </w:rPr>
        <w:t xml:space="preserve">. They </w:t>
      </w:r>
      <w:r w:rsidR="000563AD">
        <w:rPr>
          <w:sz w:val="22"/>
          <w:szCs w:val="22"/>
          <w:lang w:val="en-US"/>
        </w:rPr>
        <w:t xml:space="preserve">generally </w:t>
      </w:r>
      <w:r w:rsidR="00694B46" w:rsidRPr="001B5F49">
        <w:rPr>
          <w:sz w:val="22"/>
          <w:szCs w:val="22"/>
          <w:lang w:val="en-US"/>
        </w:rPr>
        <w:t xml:space="preserve">unfold in </w:t>
      </w:r>
      <w:r w:rsidR="000563AD">
        <w:rPr>
          <w:sz w:val="22"/>
          <w:szCs w:val="22"/>
          <w:lang w:val="en-US"/>
        </w:rPr>
        <w:t xml:space="preserve">quite </w:t>
      </w:r>
      <w:r w:rsidR="00694B46" w:rsidRPr="001B5F49">
        <w:rPr>
          <w:sz w:val="22"/>
          <w:szCs w:val="22"/>
          <w:lang w:val="en-US"/>
        </w:rPr>
        <w:t>an unamicable environment</w:t>
      </w:r>
      <w:r w:rsidR="000563AD">
        <w:rPr>
          <w:sz w:val="22"/>
          <w:szCs w:val="22"/>
          <w:lang w:val="en-US"/>
        </w:rPr>
        <w:t>.</w:t>
      </w:r>
      <w:r w:rsidR="000563AD" w:rsidRPr="001B5F49">
        <w:rPr>
          <w:sz w:val="22"/>
          <w:szCs w:val="22"/>
          <w:lang w:val="en-US"/>
        </w:rPr>
        <w:t xml:space="preserve"> </w:t>
      </w:r>
      <w:r w:rsidR="000563AD">
        <w:rPr>
          <w:sz w:val="22"/>
          <w:szCs w:val="22"/>
          <w:lang w:val="en-US"/>
        </w:rPr>
        <w:t xml:space="preserve">Not only are they time-consuming, but they also generally </w:t>
      </w:r>
      <w:r>
        <w:rPr>
          <w:sz w:val="22"/>
          <w:szCs w:val="22"/>
          <w:lang w:val="en-US"/>
        </w:rPr>
        <w:t xml:space="preserve">compel </w:t>
      </w:r>
      <w:r w:rsidR="000563AD">
        <w:rPr>
          <w:sz w:val="22"/>
          <w:szCs w:val="22"/>
          <w:lang w:val="en-US"/>
        </w:rPr>
        <w:t>the deadlocked shareholders</w:t>
      </w:r>
      <w:r>
        <w:rPr>
          <w:sz w:val="22"/>
          <w:szCs w:val="22"/>
          <w:lang w:val="en-US"/>
        </w:rPr>
        <w:t xml:space="preserve"> to face significant disburs</w:t>
      </w:r>
      <w:r w:rsidR="00973239">
        <w:rPr>
          <w:sz w:val="22"/>
          <w:szCs w:val="22"/>
          <w:lang w:val="en-US"/>
        </w:rPr>
        <w:t>e</w:t>
      </w:r>
      <w:r>
        <w:rPr>
          <w:sz w:val="22"/>
          <w:szCs w:val="22"/>
          <w:lang w:val="en-US"/>
        </w:rPr>
        <w:t>ment</w:t>
      </w:r>
      <w:r w:rsidR="00973239">
        <w:rPr>
          <w:sz w:val="22"/>
          <w:szCs w:val="22"/>
          <w:lang w:val="en-US"/>
        </w:rPr>
        <w:t>s concerning financial and legal advisors</w:t>
      </w:r>
      <w:r w:rsidR="000563AD">
        <w:rPr>
          <w:sz w:val="22"/>
          <w:szCs w:val="22"/>
          <w:lang w:val="en-US"/>
        </w:rPr>
        <w:t xml:space="preserve">. </w:t>
      </w:r>
      <w:r>
        <w:rPr>
          <w:sz w:val="22"/>
          <w:szCs w:val="22"/>
          <w:lang w:val="en-US"/>
        </w:rPr>
        <w:t>M</w:t>
      </w:r>
      <w:r w:rsidR="00694B46" w:rsidRPr="001B5F49">
        <w:rPr>
          <w:sz w:val="22"/>
          <w:szCs w:val="22"/>
          <w:lang w:val="en-US"/>
        </w:rPr>
        <w:t>utual</w:t>
      </w:r>
      <w:r>
        <w:rPr>
          <w:sz w:val="22"/>
          <w:szCs w:val="22"/>
          <w:lang w:val="en-US"/>
        </w:rPr>
        <w:t xml:space="preserve"> </w:t>
      </w:r>
      <w:r w:rsidR="00694B46" w:rsidRPr="001B5F49">
        <w:rPr>
          <w:sz w:val="22"/>
          <w:szCs w:val="22"/>
          <w:lang w:val="en-US"/>
        </w:rPr>
        <w:t>distrustful</w:t>
      </w:r>
      <w:r>
        <w:rPr>
          <w:sz w:val="22"/>
          <w:szCs w:val="22"/>
          <w:lang w:val="en-US"/>
        </w:rPr>
        <w:t xml:space="preserve">ness induces </w:t>
      </w:r>
      <w:r w:rsidR="00694B46" w:rsidRPr="001B5F49">
        <w:rPr>
          <w:sz w:val="22"/>
          <w:szCs w:val="22"/>
          <w:lang w:val="en-US"/>
        </w:rPr>
        <w:t xml:space="preserve">the deadlocked shareholders to </w:t>
      </w:r>
      <w:r>
        <w:rPr>
          <w:sz w:val="22"/>
          <w:szCs w:val="22"/>
          <w:lang w:val="en-US"/>
        </w:rPr>
        <w:t xml:space="preserve">refuse </w:t>
      </w:r>
      <w:r w:rsidR="00694B46" w:rsidRPr="001B5F49">
        <w:rPr>
          <w:sz w:val="22"/>
          <w:szCs w:val="22"/>
          <w:lang w:val="en-US"/>
        </w:rPr>
        <w:t>go</w:t>
      </w:r>
      <w:r>
        <w:rPr>
          <w:sz w:val="22"/>
          <w:szCs w:val="22"/>
          <w:lang w:val="en-US"/>
        </w:rPr>
        <w:t>ing</w:t>
      </w:r>
      <w:r w:rsidR="00694B46" w:rsidRPr="001B5F49">
        <w:rPr>
          <w:sz w:val="22"/>
          <w:szCs w:val="22"/>
          <w:lang w:val="en-US"/>
        </w:rPr>
        <w:t xml:space="preserve"> forward without the assistance of appraisers and lawyers that may better understand and measure what is at stake</w:t>
      </w:r>
      <w:r w:rsidR="000563AD">
        <w:rPr>
          <w:sz w:val="22"/>
          <w:szCs w:val="22"/>
          <w:lang w:val="en-US"/>
        </w:rPr>
        <w:t xml:space="preserve"> </w:t>
      </w:r>
      <w:r w:rsidR="00694B46" w:rsidRPr="001B5F49">
        <w:rPr>
          <w:sz w:val="22"/>
          <w:szCs w:val="22"/>
          <w:lang w:val="en-US"/>
        </w:rPr>
        <w:t xml:space="preserve">and eventually </w:t>
      </w:r>
      <w:r w:rsidR="000563AD">
        <w:rPr>
          <w:sz w:val="22"/>
          <w:szCs w:val="22"/>
          <w:lang w:val="en-US"/>
        </w:rPr>
        <w:t>ink an agreement that may be effective at protecting their interests</w:t>
      </w:r>
      <w:r w:rsidR="00694B46" w:rsidRPr="001B5F49">
        <w:rPr>
          <w:sz w:val="22"/>
          <w:szCs w:val="22"/>
          <w:lang w:val="en-US"/>
        </w:rPr>
        <w:t xml:space="preserve">. </w:t>
      </w:r>
    </w:p>
    <w:p w14:paraId="38487872" w14:textId="347441B9" w:rsidR="00D94ADB" w:rsidRDefault="000563AD" w:rsidP="003441FD">
      <w:pPr>
        <w:ind w:firstLine="567"/>
        <w:jc w:val="both"/>
        <w:rPr>
          <w:sz w:val="22"/>
          <w:szCs w:val="22"/>
          <w:lang w:val="en-US"/>
        </w:rPr>
      </w:pPr>
      <w:r>
        <w:rPr>
          <w:sz w:val="22"/>
          <w:szCs w:val="22"/>
          <w:lang w:val="en-GB"/>
        </w:rPr>
        <w:t xml:space="preserve">In addition to being costly, extemporary negotiations </w:t>
      </w:r>
      <w:r w:rsidR="00F84E3B">
        <w:rPr>
          <w:sz w:val="22"/>
          <w:szCs w:val="22"/>
          <w:lang w:val="en-GB"/>
        </w:rPr>
        <w:t xml:space="preserve">do </w:t>
      </w:r>
      <w:r>
        <w:rPr>
          <w:sz w:val="22"/>
          <w:szCs w:val="22"/>
          <w:lang w:val="en-GB"/>
        </w:rPr>
        <w:t xml:space="preserve">also </w:t>
      </w:r>
      <w:r w:rsidR="00F84E3B">
        <w:rPr>
          <w:sz w:val="22"/>
          <w:szCs w:val="22"/>
          <w:lang w:val="en-US"/>
        </w:rPr>
        <w:t>prove often long if not extenuating,</w:t>
      </w:r>
      <w:r w:rsidR="00F84E3B">
        <w:rPr>
          <w:sz w:val="22"/>
          <w:szCs w:val="22"/>
          <w:lang w:val="en-GB"/>
        </w:rPr>
        <w:t xml:space="preserve"> </w:t>
      </w:r>
      <w:r w:rsidR="00D94ADB">
        <w:rPr>
          <w:sz w:val="22"/>
          <w:szCs w:val="22"/>
          <w:lang w:val="en-GB"/>
        </w:rPr>
        <w:t>caus</w:t>
      </w:r>
      <w:r w:rsidR="00F84E3B">
        <w:rPr>
          <w:sz w:val="22"/>
          <w:szCs w:val="22"/>
          <w:lang w:val="en-GB"/>
        </w:rPr>
        <w:t>ing</w:t>
      </w:r>
      <w:r w:rsidR="00D94ADB">
        <w:rPr>
          <w:sz w:val="22"/>
          <w:szCs w:val="22"/>
          <w:lang w:val="en-GB"/>
        </w:rPr>
        <w:t xml:space="preserve"> </w:t>
      </w:r>
      <w:r w:rsidR="00D94ADB">
        <w:rPr>
          <w:sz w:val="22"/>
          <w:szCs w:val="22"/>
          <w:lang w:val="en-US"/>
        </w:rPr>
        <w:t>delays</w:t>
      </w:r>
      <w:r w:rsidR="00D94ADB" w:rsidRPr="001B5F49">
        <w:rPr>
          <w:sz w:val="22"/>
          <w:szCs w:val="22"/>
          <w:lang w:val="en-US"/>
        </w:rPr>
        <w:t xml:space="preserve"> </w:t>
      </w:r>
      <w:r w:rsidR="00D94ADB">
        <w:rPr>
          <w:sz w:val="22"/>
          <w:szCs w:val="22"/>
          <w:lang w:val="en-US"/>
        </w:rPr>
        <w:t>in overcoming the impasse.</w:t>
      </w:r>
    </w:p>
    <w:p w14:paraId="381C19EF" w14:textId="6B0A1A77" w:rsidR="003441FD" w:rsidRDefault="00D94ADB" w:rsidP="003441FD">
      <w:pPr>
        <w:ind w:firstLine="567"/>
        <w:jc w:val="both"/>
        <w:rPr>
          <w:sz w:val="22"/>
          <w:szCs w:val="22"/>
          <w:lang w:val="en-GB"/>
        </w:rPr>
      </w:pPr>
      <w:r>
        <w:rPr>
          <w:sz w:val="22"/>
          <w:szCs w:val="22"/>
          <w:lang w:val="en-US"/>
        </w:rPr>
        <w:t xml:space="preserve">Above all, they </w:t>
      </w:r>
      <w:r w:rsidR="000563AD">
        <w:rPr>
          <w:sz w:val="22"/>
          <w:szCs w:val="22"/>
          <w:lang w:val="en-GB"/>
        </w:rPr>
        <w:t xml:space="preserve">carry one potential important </w:t>
      </w:r>
      <w:r w:rsidR="00694B46">
        <w:rPr>
          <w:sz w:val="22"/>
          <w:szCs w:val="22"/>
          <w:lang w:val="en-GB"/>
        </w:rPr>
        <w:t>drawback</w:t>
      </w:r>
      <w:r w:rsidR="000563AD">
        <w:rPr>
          <w:sz w:val="22"/>
          <w:szCs w:val="22"/>
          <w:lang w:val="en-GB"/>
        </w:rPr>
        <w:t>: the quest for fair buyout</w:t>
      </w:r>
      <w:r w:rsidR="00B44853">
        <w:rPr>
          <w:sz w:val="22"/>
          <w:szCs w:val="22"/>
          <w:lang w:val="en-GB"/>
        </w:rPr>
        <w:t>s</w:t>
      </w:r>
      <w:r w:rsidR="000563AD">
        <w:rPr>
          <w:sz w:val="22"/>
          <w:szCs w:val="22"/>
          <w:lang w:val="en-GB"/>
        </w:rPr>
        <w:t xml:space="preserve"> </w:t>
      </w:r>
      <w:r w:rsidR="00B44853">
        <w:rPr>
          <w:sz w:val="22"/>
          <w:szCs w:val="22"/>
          <w:lang w:val="en-GB"/>
        </w:rPr>
        <w:t xml:space="preserve">would </w:t>
      </w:r>
      <w:r w:rsidR="000563AD">
        <w:rPr>
          <w:sz w:val="22"/>
          <w:szCs w:val="22"/>
          <w:lang w:val="en-GB"/>
        </w:rPr>
        <w:t>prove elusive</w:t>
      </w:r>
      <w:r w:rsidR="00F553AB">
        <w:rPr>
          <w:sz w:val="22"/>
          <w:szCs w:val="22"/>
          <w:lang w:val="en-GB"/>
        </w:rPr>
        <w:t xml:space="preserve"> in both a symmetric and, a fortiori, asymmetric bargaining environment</w:t>
      </w:r>
      <w:r w:rsidR="00B44853">
        <w:rPr>
          <w:sz w:val="22"/>
          <w:szCs w:val="22"/>
          <w:lang w:val="en-GB"/>
        </w:rPr>
        <w:t xml:space="preserve">. </w:t>
      </w:r>
    </w:p>
    <w:p w14:paraId="7253E9DF" w14:textId="3001FF6D" w:rsidR="00654A1A" w:rsidRDefault="00654A1A" w:rsidP="003441FD">
      <w:pPr>
        <w:ind w:firstLine="567"/>
        <w:jc w:val="both"/>
        <w:rPr>
          <w:sz w:val="22"/>
          <w:szCs w:val="22"/>
          <w:lang w:val="en-GB"/>
        </w:rPr>
      </w:pPr>
      <w:r>
        <w:rPr>
          <w:sz w:val="22"/>
          <w:szCs w:val="22"/>
          <w:lang w:val="en-GB"/>
        </w:rPr>
        <w:t xml:space="preserve">Extemporary negotiations </w:t>
      </w:r>
      <w:r w:rsidRPr="00336C11">
        <w:rPr>
          <w:sz w:val="22"/>
          <w:szCs w:val="22"/>
          <w:lang w:val="en-GB"/>
        </w:rPr>
        <w:t>unfold in the shadow of the sharehol</w:t>
      </w:r>
      <w:r w:rsidRPr="00063E86">
        <w:rPr>
          <w:sz w:val="22"/>
          <w:szCs w:val="22"/>
          <w:lang w:val="en-GB"/>
        </w:rPr>
        <w:t>der deadlock</w:t>
      </w:r>
      <w:r>
        <w:rPr>
          <w:sz w:val="22"/>
          <w:szCs w:val="22"/>
          <w:lang w:val="en-GB"/>
        </w:rPr>
        <w:t>,</w:t>
      </w:r>
      <w:r w:rsidRPr="00063E86">
        <w:rPr>
          <w:rStyle w:val="FootnoteReference"/>
          <w:rFonts w:ascii="Times New Roman" w:hAnsi="Times New Roman"/>
          <w:sz w:val="22"/>
          <w:szCs w:val="22"/>
          <w:lang w:val="en-GB"/>
        </w:rPr>
        <w:footnoteReference w:id="45"/>
      </w:r>
      <w:r>
        <w:rPr>
          <w:sz w:val="22"/>
          <w:szCs w:val="22"/>
          <w:lang w:val="en-GB"/>
        </w:rPr>
        <w:t xml:space="preserve"> which means that the </w:t>
      </w:r>
      <w:r w:rsidRPr="00336C11">
        <w:rPr>
          <w:sz w:val="22"/>
          <w:szCs w:val="22"/>
          <w:lang w:val="en-GB"/>
        </w:rPr>
        <w:t xml:space="preserve">deadlocked shareholders would negotiate in the awareness of two facts. First, the deadlocked shareholders’ best alternatives to a negotiated </w:t>
      </w:r>
      <w:r>
        <w:rPr>
          <w:sz w:val="22"/>
          <w:szCs w:val="22"/>
          <w:lang w:val="en-GB"/>
        </w:rPr>
        <w:t xml:space="preserve">– their outside options. Second, the fraction of value </w:t>
      </w:r>
      <w:r>
        <w:rPr>
          <w:iCs/>
          <w:sz w:val="22"/>
          <w:szCs w:val="22"/>
          <w:lang w:val="en-GB"/>
        </w:rPr>
        <w:t xml:space="preserve">D that overcoming the shareholder deadlock would make it possible to create – with </w:t>
      </w:r>
      <w:r w:rsidRPr="00336C11">
        <w:rPr>
          <w:sz w:val="22"/>
          <w:szCs w:val="22"/>
          <w:lang w:val="en-GB"/>
        </w:rPr>
        <w:t>D</w:t>
      </w:r>
      <w:r>
        <w:rPr>
          <w:sz w:val="22"/>
          <w:szCs w:val="22"/>
          <w:lang w:val="en-GB"/>
        </w:rPr>
        <w:t>=</w:t>
      </w:r>
      <w:r w:rsidRPr="00336C11">
        <w:rPr>
          <w:sz w:val="22"/>
          <w:szCs w:val="22"/>
          <w:lang w:val="en-GB"/>
        </w:rPr>
        <w:t>PDFV-DFV</w:t>
      </w:r>
      <w:r w:rsidR="00455547">
        <w:rPr>
          <w:sz w:val="22"/>
          <w:szCs w:val="22"/>
          <w:lang w:val="en-GB"/>
        </w:rPr>
        <w:t>.</w:t>
      </w:r>
      <w:r>
        <w:rPr>
          <w:rStyle w:val="FootnoteReference"/>
          <w:szCs w:val="22"/>
          <w:lang w:val="en-GB"/>
        </w:rPr>
        <w:footnoteReference w:id="46"/>
      </w:r>
      <w:r w:rsidRPr="00336C11">
        <w:rPr>
          <w:sz w:val="22"/>
          <w:szCs w:val="22"/>
          <w:lang w:val="en-GB"/>
        </w:rPr>
        <w:t xml:space="preserve">  </w:t>
      </w:r>
    </w:p>
    <w:p w14:paraId="073A964E" w14:textId="72260A8B" w:rsidR="006870D5" w:rsidRPr="00950738" w:rsidRDefault="006870D5" w:rsidP="00950738">
      <w:pPr>
        <w:pStyle w:val="Heading2"/>
        <w:numPr>
          <w:ilvl w:val="1"/>
          <w:numId w:val="28"/>
        </w:numPr>
        <w:spacing w:before="480"/>
        <w:ind w:left="567" w:hanging="567"/>
        <w:rPr>
          <w:i/>
          <w:sz w:val="22"/>
          <w:szCs w:val="22"/>
          <w:lang w:val="en-GB"/>
        </w:rPr>
      </w:pPr>
      <w:bookmarkStart w:id="30" w:name="_Toc66125108"/>
      <w:bookmarkStart w:id="31" w:name="_Toc67392672"/>
      <w:r w:rsidRPr="00950738">
        <w:rPr>
          <w:i/>
          <w:sz w:val="22"/>
          <w:szCs w:val="22"/>
          <w:lang w:val="en-GB"/>
        </w:rPr>
        <w:lastRenderedPageBreak/>
        <w:t>Symmetric Bargaining Environment</w:t>
      </w:r>
      <w:bookmarkEnd w:id="30"/>
      <w:bookmarkEnd w:id="31"/>
    </w:p>
    <w:p w14:paraId="620FD17A" w14:textId="77777777" w:rsidR="00D94ADB" w:rsidRDefault="00523775" w:rsidP="00063E86">
      <w:pPr>
        <w:ind w:firstLine="567"/>
        <w:jc w:val="both"/>
        <w:rPr>
          <w:sz w:val="22"/>
          <w:szCs w:val="22"/>
          <w:lang w:val="en-GB"/>
        </w:rPr>
      </w:pPr>
      <w:r w:rsidRPr="00063E86">
        <w:rPr>
          <w:sz w:val="22"/>
          <w:szCs w:val="22"/>
          <w:lang w:val="en-GB"/>
        </w:rPr>
        <w:t>A</w:t>
      </w:r>
      <w:r w:rsidR="009850AA" w:rsidRPr="00063E86">
        <w:rPr>
          <w:sz w:val="22"/>
          <w:szCs w:val="22"/>
          <w:lang w:val="en-GB"/>
        </w:rPr>
        <w:t xml:space="preserve">ssuming </w:t>
      </w:r>
      <w:r w:rsidR="0008541B">
        <w:rPr>
          <w:sz w:val="22"/>
          <w:szCs w:val="22"/>
          <w:lang w:val="en-GB"/>
        </w:rPr>
        <w:t>perfect symmetry</w:t>
      </w:r>
      <w:r w:rsidR="00063E86" w:rsidRPr="00063E86">
        <w:rPr>
          <w:sz w:val="22"/>
          <w:szCs w:val="22"/>
          <w:lang w:val="en-GB"/>
        </w:rPr>
        <w:t>,</w:t>
      </w:r>
      <w:r w:rsidR="00063E86">
        <w:rPr>
          <w:sz w:val="22"/>
          <w:szCs w:val="22"/>
          <w:lang w:val="en-GB"/>
        </w:rPr>
        <w:t xml:space="preserve"> </w:t>
      </w:r>
      <w:r w:rsidR="00FC27E1" w:rsidRPr="00FC27E1">
        <w:rPr>
          <w:sz w:val="22"/>
          <w:szCs w:val="22"/>
          <w:lang w:val="en-GB"/>
        </w:rPr>
        <w:t>both the deadlocked shareholders come to identical estimates as regards both deadlocked firm value DFV and expected post-deadlock firm value PDFV</w:t>
      </w:r>
      <w:r w:rsidR="00FC27E1">
        <w:rPr>
          <w:sz w:val="22"/>
          <w:szCs w:val="22"/>
          <w:lang w:val="en-GB"/>
        </w:rPr>
        <w:t>.</w:t>
      </w:r>
      <w:r w:rsidR="00FC27E1" w:rsidRPr="00FC27E1">
        <w:rPr>
          <w:sz w:val="22"/>
          <w:szCs w:val="22"/>
          <w:lang w:val="en-GB"/>
        </w:rPr>
        <w:t xml:space="preserve"> </w:t>
      </w:r>
    </w:p>
    <w:p w14:paraId="608C2780" w14:textId="5B72F0B2" w:rsidR="005E088B" w:rsidRPr="00336C11" w:rsidRDefault="00124B66" w:rsidP="00124B66">
      <w:pPr>
        <w:ind w:firstLine="567"/>
        <w:jc w:val="both"/>
        <w:rPr>
          <w:sz w:val="22"/>
          <w:szCs w:val="22"/>
          <w:lang w:val="en-GB"/>
        </w:rPr>
      </w:pPr>
      <w:r>
        <w:rPr>
          <w:sz w:val="22"/>
          <w:szCs w:val="22"/>
          <w:lang w:val="en-GB"/>
        </w:rPr>
        <w:t>B</w:t>
      </w:r>
      <w:r w:rsidR="00FC27E1">
        <w:rPr>
          <w:sz w:val="22"/>
          <w:szCs w:val="22"/>
          <w:lang w:val="en-GB"/>
        </w:rPr>
        <w:t xml:space="preserve">oth </w:t>
      </w:r>
      <w:r w:rsidR="00D94ADB">
        <w:rPr>
          <w:sz w:val="22"/>
          <w:szCs w:val="22"/>
          <w:lang w:val="en-GB"/>
        </w:rPr>
        <w:t xml:space="preserve">the deadlocked shareholders </w:t>
      </w:r>
      <w:r w:rsidR="00FC27E1">
        <w:rPr>
          <w:sz w:val="22"/>
          <w:szCs w:val="22"/>
          <w:lang w:val="en-GB"/>
        </w:rPr>
        <w:t xml:space="preserve">know that their current payoffs CP1 and CP2 are such that CP1=CP2=DFV/2 </w:t>
      </w:r>
      <w:r w:rsidR="00654A1A">
        <w:rPr>
          <w:sz w:val="22"/>
          <w:szCs w:val="22"/>
          <w:lang w:val="en-GB"/>
        </w:rPr>
        <w:t xml:space="preserve">and </w:t>
      </w:r>
      <w:r w:rsidR="00FC27E1">
        <w:rPr>
          <w:sz w:val="22"/>
          <w:szCs w:val="22"/>
          <w:lang w:val="en-GB"/>
        </w:rPr>
        <w:t xml:space="preserve">their </w:t>
      </w:r>
      <w:r w:rsidR="00FC27E1" w:rsidRPr="00FC27E1">
        <w:rPr>
          <w:sz w:val="22"/>
          <w:szCs w:val="22"/>
          <w:lang w:val="en-GB"/>
        </w:rPr>
        <w:t xml:space="preserve">expected </w:t>
      </w:r>
      <w:r w:rsidR="00FC27E1">
        <w:rPr>
          <w:sz w:val="22"/>
          <w:szCs w:val="22"/>
          <w:lang w:val="en-GB"/>
        </w:rPr>
        <w:t xml:space="preserve">payoffs </w:t>
      </w:r>
      <w:r w:rsidR="00FC27E1" w:rsidRPr="00FC27E1">
        <w:rPr>
          <w:sz w:val="22"/>
          <w:szCs w:val="22"/>
          <w:lang w:val="en-GB"/>
        </w:rPr>
        <w:t>EP1 and EP2</w:t>
      </w:r>
      <w:r w:rsidR="00FC27E1">
        <w:rPr>
          <w:sz w:val="22"/>
          <w:szCs w:val="22"/>
          <w:lang w:val="en-GB"/>
        </w:rPr>
        <w:t xml:space="preserve"> are </w:t>
      </w:r>
      <w:r w:rsidR="00FC27E1" w:rsidRPr="00FC27E1">
        <w:rPr>
          <w:sz w:val="22"/>
          <w:szCs w:val="22"/>
          <w:lang w:val="en-GB"/>
        </w:rPr>
        <w:t>such that EP1=EP2=PDFV/2.</w:t>
      </w:r>
      <w:r w:rsidR="00D94ADB">
        <w:rPr>
          <w:sz w:val="22"/>
          <w:szCs w:val="22"/>
          <w:lang w:val="en-GB"/>
        </w:rPr>
        <w:t xml:space="preserve"> </w:t>
      </w:r>
      <w:r>
        <w:rPr>
          <w:sz w:val="22"/>
          <w:szCs w:val="22"/>
          <w:lang w:val="en-GB"/>
        </w:rPr>
        <w:t xml:space="preserve">They </w:t>
      </w:r>
      <w:r w:rsidR="00694B46" w:rsidRPr="00336C11">
        <w:rPr>
          <w:sz w:val="22"/>
          <w:szCs w:val="22"/>
          <w:lang w:val="en-GB"/>
        </w:rPr>
        <w:t xml:space="preserve">would </w:t>
      </w:r>
      <w:r>
        <w:rPr>
          <w:sz w:val="22"/>
          <w:szCs w:val="22"/>
          <w:lang w:val="en-GB"/>
        </w:rPr>
        <w:t xml:space="preserve">accordingly </w:t>
      </w:r>
      <w:r w:rsidR="00694B46" w:rsidRPr="00336C11">
        <w:rPr>
          <w:sz w:val="22"/>
          <w:szCs w:val="22"/>
          <w:lang w:val="en-GB"/>
        </w:rPr>
        <w:t xml:space="preserve">negotiate </w:t>
      </w:r>
      <w:r w:rsidR="00222D25" w:rsidRPr="00336C11">
        <w:rPr>
          <w:sz w:val="22"/>
          <w:szCs w:val="22"/>
          <w:lang w:val="en-GB"/>
        </w:rPr>
        <w:t xml:space="preserve">in </w:t>
      </w:r>
      <w:r w:rsidR="00402CC7" w:rsidRPr="00336C11">
        <w:rPr>
          <w:sz w:val="22"/>
          <w:szCs w:val="22"/>
          <w:lang w:val="en-GB"/>
        </w:rPr>
        <w:t xml:space="preserve">the </w:t>
      </w:r>
      <w:r w:rsidR="00C81505" w:rsidRPr="00336C11">
        <w:rPr>
          <w:sz w:val="22"/>
          <w:szCs w:val="22"/>
          <w:lang w:val="en-GB"/>
        </w:rPr>
        <w:t xml:space="preserve">awareness </w:t>
      </w:r>
      <w:r w:rsidR="00B14933" w:rsidRPr="00336C11">
        <w:rPr>
          <w:sz w:val="22"/>
          <w:szCs w:val="22"/>
          <w:lang w:val="en-GB"/>
        </w:rPr>
        <w:t xml:space="preserve">of </w:t>
      </w:r>
      <w:r w:rsidR="00654A1A">
        <w:rPr>
          <w:sz w:val="22"/>
          <w:szCs w:val="22"/>
          <w:lang w:val="en-GB"/>
        </w:rPr>
        <w:t>the fact</w:t>
      </w:r>
      <w:r w:rsidR="00D94ADB">
        <w:rPr>
          <w:sz w:val="22"/>
          <w:szCs w:val="22"/>
          <w:lang w:val="en-GB"/>
        </w:rPr>
        <w:t>s</w:t>
      </w:r>
      <w:r>
        <w:rPr>
          <w:sz w:val="22"/>
          <w:szCs w:val="22"/>
          <w:lang w:val="en-GB"/>
        </w:rPr>
        <w:t xml:space="preserve"> that </w:t>
      </w:r>
      <w:r w:rsidR="00654A1A">
        <w:rPr>
          <w:sz w:val="22"/>
          <w:szCs w:val="22"/>
          <w:lang w:val="en-GB"/>
        </w:rPr>
        <w:t xml:space="preserve">their outside </w:t>
      </w:r>
      <w:r w:rsidR="00D94ADB">
        <w:rPr>
          <w:sz w:val="22"/>
          <w:szCs w:val="22"/>
          <w:lang w:val="en-GB"/>
        </w:rPr>
        <w:t xml:space="preserve">options </w:t>
      </w:r>
      <w:r w:rsidR="00ED304E" w:rsidRPr="00336C11">
        <w:rPr>
          <w:sz w:val="22"/>
          <w:szCs w:val="22"/>
          <w:lang w:val="en-GB"/>
        </w:rPr>
        <w:t xml:space="preserve">such that </w:t>
      </w:r>
      <w:r w:rsidR="009B7FC1" w:rsidRPr="00336C11">
        <w:rPr>
          <w:sz w:val="22"/>
          <w:szCs w:val="22"/>
          <w:lang w:val="en-GB"/>
        </w:rPr>
        <w:t>OP</w:t>
      </w:r>
      <w:r w:rsidR="009B7FC1" w:rsidRPr="00336C11">
        <w:rPr>
          <w:sz w:val="22"/>
          <w:szCs w:val="22"/>
          <w:vertAlign w:val="subscript"/>
          <w:lang w:val="en-GB"/>
        </w:rPr>
        <w:t>1</w:t>
      </w:r>
      <w:r w:rsidR="009B7FC1" w:rsidRPr="00336C11">
        <w:rPr>
          <w:sz w:val="22"/>
          <w:szCs w:val="22"/>
          <w:lang w:val="en-GB"/>
        </w:rPr>
        <w:t>=OP</w:t>
      </w:r>
      <w:r w:rsidR="009B7FC1" w:rsidRPr="00336C11">
        <w:rPr>
          <w:sz w:val="22"/>
          <w:szCs w:val="22"/>
          <w:vertAlign w:val="subscript"/>
          <w:lang w:val="en-GB"/>
        </w:rPr>
        <w:t>2</w:t>
      </w:r>
      <w:r w:rsidR="00B14933" w:rsidRPr="00336C11">
        <w:rPr>
          <w:sz w:val="22"/>
          <w:szCs w:val="22"/>
          <w:lang w:val="en-GB"/>
        </w:rPr>
        <w:t>=</w:t>
      </w:r>
      <w:r w:rsidR="007045AC" w:rsidRPr="00336C11">
        <w:rPr>
          <w:iCs/>
          <w:sz w:val="22"/>
          <w:szCs w:val="22"/>
          <w:lang w:val="en-GB"/>
        </w:rPr>
        <w:t>DFV</w:t>
      </w:r>
      <w:r w:rsidR="00F43B7F" w:rsidRPr="00336C11">
        <w:rPr>
          <w:iCs/>
          <w:sz w:val="22"/>
          <w:szCs w:val="22"/>
          <w:lang w:val="en-GB"/>
        </w:rPr>
        <w:t>/2</w:t>
      </w:r>
      <w:r>
        <w:rPr>
          <w:iCs/>
          <w:sz w:val="22"/>
          <w:szCs w:val="22"/>
          <w:lang w:val="en-GB"/>
        </w:rPr>
        <w:t xml:space="preserve"> a</w:t>
      </w:r>
      <w:r w:rsidR="00455547">
        <w:rPr>
          <w:iCs/>
          <w:sz w:val="22"/>
          <w:szCs w:val="22"/>
          <w:lang w:val="en-GB"/>
        </w:rPr>
        <w:t>n</w:t>
      </w:r>
      <w:r>
        <w:rPr>
          <w:iCs/>
          <w:sz w:val="22"/>
          <w:szCs w:val="22"/>
          <w:lang w:val="en-GB"/>
        </w:rPr>
        <w:t xml:space="preserve">d that </w:t>
      </w:r>
      <w:r w:rsidR="009850AA" w:rsidRPr="00336C11">
        <w:rPr>
          <w:iCs/>
          <w:sz w:val="22"/>
          <w:szCs w:val="22"/>
          <w:lang w:val="en-GB"/>
        </w:rPr>
        <w:t>overcoming the deadlock would create the preconditions to generate an additional fraction of value</w:t>
      </w:r>
      <w:r w:rsidR="00D94ADB">
        <w:rPr>
          <w:iCs/>
          <w:sz w:val="22"/>
          <w:szCs w:val="22"/>
          <w:lang w:val="en-GB"/>
        </w:rPr>
        <w:t xml:space="preserve"> D</w:t>
      </w:r>
      <w:r w:rsidR="00FF7891">
        <w:rPr>
          <w:iCs/>
          <w:sz w:val="22"/>
          <w:szCs w:val="22"/>
          <w:lang w:val="en-GB"/>
        </w:rPr>
        <w:t xml:space="preserve">, with </w:t>
      </w:r>
      <w:r w:rsidR="009850AA" w:rsidRPr="00336C11">
        <w:rPr>
          <w:sz w:val="22"/>
          <w:szCs w:val="22"/>
          <w:lang w:val="en-GB"/>
        </w:rPr>
        <w:t xml:space="preserve">PDFV&gt;DFV and </w:t>
      </w:r>
      <w:r w:rsidR="00FF7891" w:rsidRPr="00336C11">
        <w:rPr>
          <w:sz w:val="22"/>
          <w:szCs w:val="22"/>
          <w:lang w:val="en-GB"/>
        </w:rPr>
        <w:t>D</w:t>
      </w:r>
      <w:r w:rsidR="00FF7891">
        <w:rPr>
          <w:sz w:val="22"/>
          <w:szCs w:val="22"/>
          <w:lang w:val="en-GB"/>
        </w:rPr>
        <w:t>=</w:t>
      </w:r>
      <w:r w:rsidR="009850AA" w:rsidRPr="00336C11">
        <w:rPr>
          <w:sz w:val="22"/>
          <w:szCs w:val="22"/>
          <w:lang w:val="en-GB"/>
        </w:rPr>
        <w:t>PDFV-DFV</w:t>
      </w:r>
      <w:r w:rsidR="00DA7CC9" w:rsidRPr="00336C11">
        <w:rPr>
          <w:sz w:val="22"/>
          <w:szCs w:val="22"/>
          <w:lang w:val="en-GB"/>
        </w:rPr>
        <w:t>.</w:t>
      </w:r>
      <w:r w:rsidR="00330957" w:rsidRPr="00336C11">
        <w:rPr>
          <w:sz w:val="22"/>
          <w:szCs w:val="22"/>
          <w:lang w:val="en-GB"/>
        </w:rPr>
        <w:t xml:space="preserve"> </w:t>
      </w:r>
      <w:r w:rsidR="00E27480" w:rsidRPr="00336C11">
        <w:rPr>
          <w:sz w:val="22"/>
          <w:szCs w:val="22"/>
          <w:lang w:val="en-GB"/>
        </w:rPr>
        <w:t xml:space="preserve"> </w:t>
      </w:r>
    </w:p>
    <w:p w14:paraId="69334499" w14:textId="304E61DB" w:rsidR="004E3AAD" w:rsidRPr="00336C11" w:rsidRDefault="00E76BB2" w:rsidP="006A00BB">
      <w:pPr>
        <w:ind w:firstLine="567"/>
        <w:jc w:val="both"/>
        <w:rPr>
          <w:sz w:val="22"/>
          <w:szCs w:val="22"/>
          <w:lang w:val="en-GB"/>
        </w:rPr>
      </w:pPr>
      <w:r>
        <w:rPr>
          <w:sz w:val="22"/>
          <w:szCs w:val="22"/>
          <w:lang w:val="en-GB"/>
        </w:rPr>
        <w:t xml:space="preserve">Given the inefficiency of the </w:t>
      </w:r>
      <w:r w:rsidRPr="00497127">
        <w:rPr>
          <w:i/>
          <w:sz w:val="22"/>
          <w:szCs w:val="22"/>
          <w:lang w:val="en-GB"/>
        </w:rPr>
        <w:t>status quo</w:t>
      </w:r>
      <w:r>
        <w:rPr>
          <w:sz w:val="22"/>
          <w:szCs w:val="22"/>
          <w:lang w:val="en-GB"/>
        </w:rPr>
        <w:t xml:space="preserve"> and </w:t>
      </w:r>
      <w:r w:rsidR="00773D31" w:rsidRPr="00336C11">
        <w:rPr>
          <w:sz w:val="22"/>
          <w:szCs w:val="22"/>
          <w:lang w:val="en-GB"/>
        </w:rPr>
        <w:t xml:space="preserve">both deadlocked shareholders’ rational ambitions </w:t>
      </w:r>
      <w:r w:rsidR="003F76D0">
        <w:rPr>
          <w:sz w:val="22"/>
          <w:szCs w:val="22"/>
          <w:lang w:val="en-GB"/>
        </w:rPr>
        <w:t xml:space="preserve">to </w:t>
      </w:r>
      <w:r w:rsidR="00773D31" w:rsidRPr="00336C11">
        <w:rPr>
          <w:sz w:val="22"/>
          <w:szCs w:val="22"/>
          <w:lang w:val="en-GB"/>
        </w:rPr>
        <w:t>shar</w:t>
      </w:r>
      <w:r w:rsidR="003F76D0">
        <w:rPr>
          <w:sz w:val="22"/>
          <w:szCs w:val="22"/>
          <w:lang w:val="en-GB"/>
        </w:rPr>
        <w:t>e</w:t>
      </w:r>
      <w:r w:rsidR="00773D31" w:rsidRPr="00336C11">
        <w:rPr>
          <w:sz w:val="22"/>
          <w:szCs w:val="22"/>
          <w:lang w:val="en-GB"/>
        </w:rPr>
        <w:t xml:space="preserve"> in D, a </w:t>
      </w:r>
      <w:r w:rsidR="00E514CC" w:rsidRPr="00336C11">
        <w:rPr>
          <w:sz w:val="22"/>
          <w:szCs w:val="22"/>
          <w:lang w:val="en-GB"/>
        </w:rPr>
        <w:t xml:space="preserve">relatively wide </w:t>
      </w:r>
      <w:r w:rsidR="00773D31" w:rsidRPr="00336C11">
        <w:rPr>
          <w:sz w:val="22"/>
          <w:szCs w:val="22"/>
          <w:lang w:val="en-GB"/>
        </w:rPr>
        <w:t xml:space="preserve">positive </w:t>
      </w:r>
      <w:r w:rsidR="00E514CC" w:rsidRPr="003F76D0">
        <w:rPr>
          <w:sz w:val="22"/>
          <w:szCs w:val="22"/>
          <w:lang w:val="en-GB"/>
        </w:rPr>
        <w:t>“</w:t>
      </w:r>
      <w:r w:rsidR="00E514CC" w:rsidRPr="00D0186B">
        <w:rPr>
          <w:iCs/>
          <w:sz w:val="22"/>
          <w:szCs w:val="22"/>
          <w:lang w:val="en-GB"/>
        </w:rPr>
        <w:t>Zone of Possible Agreements</w:t>
      </w:r>
      <w:r w:rsidR="00E514CC" w:rsidRPr="003F76D0">
        <w:rPr>
          <w:sz w:val="22"/>
          <w:szCs w:val="22"/>
          <w:lang w:val="en-GB"/>
        </w:rPr>
        <w:t>”</w:t>
      </w:r>
      <w:r w:rsidR="00E514CC" w:rsidRPr="00336C11">
        <w:rPr>
          <w:sz w:val="22"/>
          <w:szCs w:val="22"/>
          <w:lang w:val="en-GB"/>
        </w:rPr>
        <w:t xml:space="preserve"> (“ZoPA”)</w:t>
      </w:r>
      <w:r w:rsidR="00B05304" w:rsidRPr="00336C11">
        <w:rPr>
          <w:sz w:val="22"/>
          <w:szCs w:val="22"/>
          <w:lang w:val="en-GB"/>
        </w:rPr>
        <w:t xml:space="preserve"> would </w:t>
      </w:r>
      <w:r w:rsidR="0077442E" w:rsidRPr="00336C11">
        <w:rPr>
          <w:sz w:val="22"/>
          <w:szCs w:val="22"/>
          <w:lang w:val="en-GB"/>
        </w:rPr>
        <w:t xml:space="preserve">then </w:t>
      </w:r>
      <w:r w:rsidR="00B05304" w:rsidRPr="00336C11">
        <w:rPr>
          <w:sz w:val="22"/>
          <w:szCs w:val="22"/>
          <w:lang w:val="en-GB"/>
        </w:rPr>
        <w:t>emerge</w:t>
      </w:r>
      <w:r w:rsidR="00BB2327" w:rsidRPr="00336C11">
        <w:rPr>
          <w:sz w:val="22"/>
          <w:szCs w:val="22"/>
          <w:lang w:val="en-GB"/>
        </w:rPr>
        <w:t>.</w:t>
      </w:r>
      <w:r w:rsidR="00AA4AA1" w:rsidRPr="00336C11">
        <w:rPr>
          <w:rStyle w:val="FootnoteReference"/>
          <w:rFonts w:ascii="Times New Roman" w:hAnsi="Times New Roman"/>
          <w:sz w:val="22"/>
          <w:szCs w:val="22"/>
          <w:lang w:val="en-GB"/>
        </w:rPr>
        <w:footnoteReference w:id="47"/>
      </w:r>
      <w:r w:rsidR="00BB2327" w:rsidRPr="00336C11">
        <w:rPr>
          <w:sz w:val="22"/>
          <w:szCs w:val="22"/>
          <w:lang w:val="en-GB"/>
        </w:rPr>
        <w:t xml:space="preserve"> </w:t>
      </w:r>
      <w:r w:rsidR="00AA4AA1" w:rsidRPr="00336C11">
        <w:rPr>
          <w:sz w:val="22"/>
          <w:szCs w:val="22"/>
          <w:lang w:val="en-GB"/>
        </w:rPr>
        <w:t xml:space="preserve">A </w:t>
      </w:r>
      <w:r w:rsidR="00773D31" w:rsidRPr="00336C11">
        <w:rPr>
          <w:sz w:val="22"/>
          <w:szCs w:val="22"/>
          <w:lang w:val="en-GB"/>
        </w:rPr>
        <w:t>positive</w:t>
      </w:r>
      <w:r w:rsidR="0077442E" w:rsidRPr="00336C11">
        <w:rPr>
          <w:sz w:val="22"/>
          <w:szCs w:val="22"/>
          <w:lang w:val="en-GB"/>
        </w:rPr>
        <w:t xml:space="preserve"> ZoPA </w:t>
      </w:r>
      <w:r w:rsidR="008E2CBD" w:rsidRPr="00336C11">
        <w:rPr>
          <w:sz w:val="22"/>
          <w:szCs w:val="22"/>
          <w:lang w:val="en-US"/>
        </w:rPr>
        <w:t xml:space="preserve">is </w:t>
      </w:r>
      <w:r w:rsidR="00051483" w:rsidRPr="00336C11">
        <w:rPr>
          <w:sz w:val="22"/>
          <w:szCs w:val="22"/>
          <w:lang w:val="en-US"/>
        </w:rPr>
        <w:t xml:space="preserve">the </w:t>
      </w:r>
      <w:r w:rsidR="0077442E" w:rsidRPr="00336C11">
        <w:rPr>
          <w:sz w:val="22"/>
          <w:szCs w:val="22"/>
          <w:lang w:val="en-GB"/>
        </w:rPr>
        <w:t xml:space="preserve">spectrum </w:t>
      </w:r>
      <w:r w:rsidR="00222D25" w:rsidRPr="00336C11">
        <w:rPr>
          <w:sz w:val="22"/>
          <w:szCs w:val="22"/>
          <w:lang w:val="en-GB"/>
        </w:rPr>
        <w:t xml:space="preserve">upon </w:t>
      </w:r>
      <w:r w:rsidR="0077442E" w:rsidRPr="00336C11">
        <w:rPr>
          <w:sz w:val="22"/>
          <w:szCs w:val="22"/>
          <w:lang w:val="en-GB"/>
        </w:rPr>
        <w:t xml:space="preserve">which </w:t>
      </w:r>
      <w:r w:rsidR="00222D25" w:rsidRPr="00336C11">
        <w:rPr>
          <w:sz w:val="22"/>
          <w:szCs w:val="22"/>
          <w:lang w:val="en-GB"/>
        </w:rPr>
        <w:t xml:space="preserve">are distributed </w:t>
      </w:r>
      <w:r w:rsidR="00DA7CC9" w:rsidRPr="00336C11">
        <w:rPr>
          <w:sz w:val="22"/>
          <w:szCs w:val="22"/>
          <w:lang w:val="en-GB"/>
        </w:rPr>
        <w:t xml:space="preserve">the </w:t>
      </w:r>
      <w:r w:rsidR="0077442E" w:rsidRPr="00336C11">
        <w:rPr>
          <w:sz w:val="22"/>
          <w:szCs w:val="22"/>
          <w:lang w:val="en-GB"/>
        </w:rPr>
        <w:t xml:space="preserve">terms of </w:t>
      </w:r>
      <w:r w:rsidR="00222D25" w:rsidRPr="00336C11">
        <w:rPr>
          <w:sz w:val="22"/>
          <w:szCs w:val="22"/>
          <w:lang w:val="en-GB"/>
        </w:rPr>
        <w:t xml:space="preserve">all </w:t>
      </w:r>
      <w:r w:rsidR="0077442E" w:rsidRPr="00336C11">
        <w:rPr>
          <w:sz w:val="22"/>
          <w:szCs w:val="22"/>
          <w:lang w:val="en-GB"/>
        </w:rPr>
        <w:t xml:space="preserve">the </w:t>
      </w:r>
      <w:r w:rsidR="00DA7CC9" w:rsidRPr="00336C11">
        <w:rPr>
          <w:sz w:val="22"/>
          <w:szCs w:val="22"/>
          <w:lang w:val="en-GB"/>
        </w:rPr>
        <w:t xml:space="preserve">possible </w:t>
      </w:r>
      <w:r w:rsidR="0077442E" w:rsidRPr="00336C11">
        <w:rPr>
          <w:sz w:val="22"/>
          <w:szCs w:val="22"/>
          <w:lang w:val="en-GB"/>
        </w:rPr>
        <w:t>agreement</w:t>
      </w:r>
      <w:r w:rsidR="00DA7CC9" w:rsidRPr="00336C11">
        <w:rPr>
          <w:sz w:val="22"/>
          <w:szCs w:val="22"/>
          <w:lang w:val="en-GB"/>
        </w:rPr>
        <w:t>s</w:t>
      </w:r>
      <w:r w:rsidR="0077442E" w:rsidRPr="00336C11">
        <w:rPr>
          <w:sz w:val="22"/>
          <w:szCs w:val="22"/>
          <w:lang w:val="en-GB"/>
        </w:rPr>
        <w:t xml:space="preserve"> </w:t>
      </w:r>
      <w:r w:rsidR="00222D25" w:rsidRPr="00336C11">
        <w:rPr>
          <w:sz w:val="22"/>
          <w:szCs w:val="22"/>
          <w:lang w:val="en-GB"/>
        </w:rPr>
        <w:t xml:space="preserve">to which </w:t>
      </w:r>
      <w:r w:rsidR="0077442E" w:rsidRPr="00336C11">
        <w:rPr>
          <w:sz w:val="22"/>
          <w:szCs w:val="22"/>
          <w:lang w:val="en-GB"/>
        </w:rPr>
        <w:t>the negotiating parties</w:t>
      </w:r>
      <w:r w:rsidR="00222D25" w:rsidRPr="00336C11">
        <w:rPr>
          <w:sz w:val="22"/>
          <w:szCs w:val="22"/>
          <w:lang w:val="en-GB"/>
        </w:rPr>
        <w:t xml:space="preserve"> may potentially come</w:t>
      </w:r>
      <w:r w:rsidR="00AA4AA1" w:rsidRPr="00336C11">
        <w:rPr>
          <w:sz w:val="22"/>
          <w:szCs w:val="22"/>
          <w:lang w:val="en-US"/>
        </w:rPr>
        <w:t xml:space="preserve">. This spectrum </w:t>
      </w:r>
      <w:r w:rsidR="00222D25" w:rsidRPr="00336C11">
        <w:rPr>
          <w:sz w:val="22"/>
          <w:szCs w:val="22"/>
          <w:lang w:val="en-GB"/>
        </w:rPr>
        <w:t xml:space="preserve">here </w:t>
      </w:r>
      <w:r w:rsidR="00051483" w:rsidRPr="00336C11">
        <w:rPr>
          <w:sz w:val="22"/>
          <w:szCs w:val="22"/>
          <w:lang w:val="en-GB"/>
        </w:rPr>
        <w:t xml:space="preserve">has </w:t>
      </w:r>
      <w:r w:rsidR="00DA7CC9" w:rsidRPr="00336C11">
        <w:rPr>
          <w:sz w:val="22"/>
          <w:szCs w:val="22"/>
          <w:lang w:val="en-GB"/>
        </w:rPr>
        <w:t xml:space="preserve">two intuitive </w:t>
      </w:r>
      <w:r w:rsidR="008E2CBD" w:rsidRPr="00336C11">
        <w:rPr>
          <w:sz w:val="22"/>
          <w:szCs w:val="22"/>
          <w:lang w:val="en-GB"/>
        </w:rPr>
        <w:t xml:space="preserve">ends. </w:t>
      </w:r>
      <w:r w:rsidR="002C43CD">
        <w:rPr>
          <w:sz w:val="22"/>
          <w:szCs w:val="22"/>
          <w:lang w:val="en-GB"/>
        </w:rPr>
        <w:t>O</w:t>
      </w:r>
      <w:r w:rsidR="00B05304" w:rsidRPr="00336C11">
        <w:rPr>
          <w:sz w:val="22"/>
          <w:szCs w:val="22"/>
          <w:lang w:val="en-GB"/>
        </w:rPr>
        <w:t xml:space="preserve">ne end </w:t>
      </w:r>
      <w:r w:rsidR="002C43CD">
        <w:rPr>
          <w:sz w:val="22"/>
          <w:szCs w:val="22"/>
          <w:lang w:val="en-GB"/>
        </w:rPr>
        <w:t xml:space="preserve">of the spectrum consists in </w:t>
      </w:r>
      <w:r w:rsidR="00B1507C" w:rsidRPr="00336C11">
        <w:rPr>
          <w:sz w:val="22"/>
          <w:szCs w:val="22"/>
          <w:lang w:val="en-GB"/>
        </w:rPr>
        <w:t>the deadlocked shareholders’ outside option</w:t>
      </w:r>
      <w:r w:rsidR="00051483" w:rsidRPr="00336C11">
        <w:rPr>
          <w:sz w:val="22"/>
          <w:szCs w:val="22"/>
          <w:lang w:val="en-GB"/>
        </w:rPr>
        <w:t xml:space="preserve">s </w:t>
      </w:r>
      <w:r w:rsidR="003A329F" w:rsidRPr="00336C11">
        <w:rPr>
          <w:sz w:val="22"/>
          <w:szCs w:val="22"/>
          <w:lang w:val="en-GB"/>
        </w:rPr>
        <w:t>OP</w:t>
      </w:r>
      <w:r w:rsidR="003A329F" w:rsidRPr="00336C11">
        <w:rPr>
          <w:sz w:val="22"/>
          <w:szCs w:val="22"/>
          <w:vertAlign w:val="subscript"/>
          <w:lang w:val="en-GB"/>
        </w:rPr>
        <w:t>1</w:t>
      </w:r>
      <w:r w:rsidR="00426A3F" w:rsidRPr="00336C11">
        <w:rPr>
          <w:sz w:val="22"/>
          <w:szCs w:val="22"/>
          <w:lang w:val="en-GB"/>
        </w:rPr>
        <w:t>=</w:t>
      </w:r>
      <w:r w:rsidR="003A329F" w:rsidRPr="00336C11">
        <w:rPr>
          <w:sz w:val="22"/>
          <w:szCs w:val="22"/>
          <w:lang w:val="en-GB"/>
        </w:rPr>
        <w:t>OP</w:t>
      </w:r>
      <w:r w:rsidR="003A329F" w:rsidRPr="00336C11">
        <w:rPr>
          <w:sz w:val="22"/>
          <w:szCs w:val="22"/>
          <w:vertAlign w:val="subscript"/>
          <w:lang w:val="en-GB"/>
        </w:rPr>
        <w:t>2</w:t>
      </w:r>
      <w:r w:rsidR="003A329F" w:rsidRPr="00336C11">
        <w:rPr>
          <w:sz w:val="22"/>
          <w:szCs w:val="22"/>
          <w:lang w:val="en-GB"/>
        </w:rPr>
        <w:t>=DFV/2</w:t>
      </w:r>
      <w:r w:rsidR="004051C6" w:rsidRPr="00336C11">
        <w:rPr>
          <w:sz w:val="22"/>
          <w:szCs w:val="22"/>
          <w:lang w:val="en-GB"/>
        </w:rPr>
        <w:t>.</w:t>
      </w:r>
      <w:r w:rsidR="00B1507C" w:rsidRPr="00336C11">
        <w:rPr>
          <w:sz w:val="22"/>
          <w:szCs w:val="22"/>
          <w:lang w:val="en-GB"/>
        </w:rPr>
        <w:t xml:space="preserve"> </w:t>
      </w:r>
      <w:r w:rsidR="002C43CD">
        <w:rPr>
          <w:sz w:val="22"/>
          <w:szCs w:val="22"/>
          <w:lang w:val="en-GB"/>
        </w:rPr>
        <w:t>T</w:t>
      </w:r>
      <w:r w:rsidR="00B05304" w:rsidRPr="00336C11">
        <w:rPr>
          <w:sz w:val="22"/>
          <w:szCs w:val="22"/>
          <w:lang w:val="en-GB"/>
        </w:rPr>
        <w:t xml:space="preserve">he other </w:t>
      </w:r>
      <w:r w:rsidR="00B1507C" w:rsidRPr="00336C11">
        <w:rPr>
          <w:sz w:val="22"/>
          <w:szCs w:val="22"/>
          <w:lang w:val="en-GB"/>
        </w:rPr>
        <w:t xml:space="preserve">end of the spectrum </w:t>
      </w:r>
      <w:r w:rsidR="002C43CD">
        <w:rPr>
          <w:sz w:val="22"/>
          <w:szCs w:val="22"/>
          <w:lang w:val="en-GB"/>
        </w:rPr>
        <w:t xml:space="preserve">consists in the difference between the post-deadlock </w:t>
      </w:r>
      <w:r w:rsidR="00CF44DB">
        <w:rPr>
          <w:sz w:val="22"/>
          <w:szCs w:val="22"/>
          <w:lang w:val="en-GB"/>
        </w:rPr>
        <w:t xml:space="preserve">firm </w:t>
      </w:r>
      <w:r w:rsidR="002C43CD">
        <w:rPr>
          <w:sz w:val="22"/>
          <w:szCs w:val="22"/>
          <w:lang w:val="en-GB"/>
        </w:rPr>
        <w:t>value PDFV and either deadlocked shareholder’s outside option OP</w:t>
      </w:r>
      <w:r w:rsidR="002C43CD" w:rsidRPr="002C43CD">
        <w:rPr>
          <w:sz w:val="22"/>
          <w:szCs w:val="22"/>
          <w:vertAlign w:val="subscript"/>
          <w:lang w:val="en-GB"/>
        </w:rPr>
        <w:t>1</w:t>
      </w:r>
      <w:r w:rsidR="002C43CD">
        <w:rPr>
          <w:sz w:val="22"/>
          <w:szCs w:val="22"/>
          <w:lang w:val="en-GB"/>
        </w:rPr>
        <w:t xml:space="preserve"> and OP</w:t>
      </w:r>
      <w:r w:rsidR="002C43CD" w:rsidRPr="002C43CD">
        <w:rPr>
          <w:sz w:val="22"/>
          <w:szCs w:val="22"/>
          <w:vertAlign w:val="subscript"/>
          <w:lang w:val="en-GB"/>
        </w:rPr>
        <w:t>2</w:t>
      </w:r>
      <w:r w:rsidR="002C43CD">
        <w:rPr>
          <w:sz w:val="22"/>
          <w:szCs w:val="22"/>
          <w:lang w:val="en-GB"/>
        </w:rPr>
        <w:t xml:space="preserve"> – that is, PDFV-DFV/2</w:t>
      </w:r>
      <w:r w:rsidR="003A329F" w:rsidRPr="00336C11">
        <w:rPr>
          <w:sz w:val="22"/>
          <w:szCs w:val="22"/>
          <w:lang w:val="en-GB"/>
        </w:rPr>
        <w:t>.</w:t>
      </w:r>
    </w:p>
    <w:p w14:paraId="60CD70F9" w14:textId="60D03362" w:rsidR="00E76BB2" w:rsidRDefault="00E76BB2" w:rsidP="006A00BB">
      <w:pPr>
        <w:ind w:firstLine="567"/>
        <w:jc w:val="both"/>
        <w:rPr>
          <w:sz w:val="22"/>
          <w:szCs w:val="22"/>
          <w:lang w:val="en-GB"/>
        </w:rPr>
      </w:pPr>
      <w:r>
        <w:rPr>
          <w:sz w:val="22"/>
          <w:szCs w:val="22"/>
          <w:lang w:val="en-GB"/>
        </w:rPr>
        <w:t xml:space="preserve">To be sure, the two ends of the ZoPA here consists in the lowest price </w:t>
      </w:r>
      <w:r w:rsidR="00455547">
        <w:rPr>
          <w:sz w:val="22"/>
          <w:szCs w:val="22"/>
          <w:lang w:val="en-GB"/>
        </w:rPr>
        <w:t xml:space="preserve">LP1 and LP2 </w:t>
      </w:r>
      <w:r>
        <w:rPr>
          <w:sz w:val="22"/>
          <w:szCs w:val="22"/>
          <w:lang w:val="en-GB"/>
        </w:rPr>
        <w:t xml:space="preserve">that either deadlocked shareholder </w:t>
      </w:r>
      <w:r w:rsidR="007E5C23">
        <w:rPr>
          <w:sz w:val="22"/>
          <w:szCs w:val="22"/>
          <w:lang w:val="en-GB"/>
        </w:rPr>
        <w:t xml:space="preserve">would </w:t>
      </w:r>
      <w:r>
        <w:rPr>
          <w:sz w:val="22"/>
          <w:szCs w:val="22"/>
          <w:lang w:val="en-GB"/>
        </w:rPr>
        <w:t xml:space="preserve">accept to </w:t>
      </w:r>
      <w:r w:rsidR="007E5C23">
        <w:rPr>
          <w:sz w:val="22"/>
          <w:szCs w:val="22"/>
          <w:lang w:val="en-GB"/>
        </w:rPr>
        <w:t xml:space="preserve">sell </w:t>
      </w:r>
      <w:r>
        <w:rPr>
          <w:sz w:val="22"/>
          <w:szCs w:val="22"/>
          <w:lang w:val="en-GB"/>
        </w:rPr>
        <w:t xml:space="preserve">his own shareholding and the highest price </w:t>
      </w:r>
      <w:r w:rsidR="00455547">
        <w:rPr>
          <w:sz w:val="22"/>
          <w:szCs w:val="22"/>
          <w:lang w:val="en-GB"/>
        </w:rPr>
        <w:t xml:space="preserve">HP1 and HP2 </w:t>
      </w:r>
      <w:r>
        <w:rPr>
          <w:sz w:val="22"/>
          <w:szCs w:val="22"/>
          <w:lang w:val="en-GB"/>
        </w:rPr>
        <w:t xml:space="preserve">that either deadlocked shareholder would pay to buy the other deadlocked shareholder’s shareholding. The lowest price is </w:t>
      </w:r>
      <w:r w:rsidR="002C43CD">
        <w:rPr>
          <w:sz w:val="22"/>
          <w:szCs w:val="22"/>
          <w:lang w:val="en-GB"/>
        </w:rPr>
        <w:t xml:space="preserve">equal to </w:t>
      </w:r>
      <w:r w:rsidR="00FF7891">
        <w:rPr>
          <w:sz w:val="22"/>
          <w:szCs w:val="22"/>
          <w:lang w:val="en-GB"/>
        </w:rPr>
        <w:t xml:space="preserve">either deadlocked shareholder’s </w:t>
      </w:r>
      <w:r w:rsidR="00DB4E6D" w:rsidRPr="00336C11">
        <w:rPr>
          <w:sz w:val="22"/>
          <w:szCs w:val="22"/>
          <w:lang w:val="en-GB"/>
        </w:rPr>
        <w:t xml:space="preserve">outside option </w:t>
      </w:r>
      <w:r w:rsidR="00DB4E6D" w:rsidRPr="007E5C23">
        <w:rPr>
          <w:i/>
          <w:sz w:val="22"/>
          <w:szCs w:val="22"/>
          <w:lang w:val="en-GB"/>
        </w:rPr>
        <w:t>plus</w:t>
      </w:r>
      <w:r w:rsidR="00DB4E6D" w:rsidRPr="00336C11">
        <w:rPr>
          <w:sz w:val="22"/>
          <w:szCs w:val="22"/>
          <w:lang w:val="en-GB"/>
        </w:rPr>
        <w:t xml:space="preserve"> </w:t>
      </w:r>
      <w:r w:rsidR="00124B66">
        <w:rPr>
          <w:sz w:val="22"/>
          <w:szCs w:val="22"/>
          <w:lang w:val="en-GB"/>
        </w:rPr>
        <w:t>the</w:t>
      </w:r>
      <w:r w:rsidR="00124B66" w:rsidRPr="00336C11">
        <w:rPr>
          <w:sz w:val="22"/>
          <w:szCs w:val="22"/>
          <w:lang w:val="en-GB"/>
        </w:rPr>
        <w:t xml:space="preserve"> </w:t>
      </w:r>
      <w:r w:rsidR="0091357A" w:rsidRPr="00336C11">
        <w:rPr>
          <w:sz w:val="22"/>
          <w:szCs w:val="22"/>
          <w:lang w:val="en-GB"/>
        </w:rPr>
        <w:t>potentially infinitesimal</w:t>
      </w:r>
      <w:r w:rsidR="00DB4E6D" w:rsidRPr="00336C11">
        <w:rPr>
          <w:sz w:val="22"/>
          <w:szCs w:val="22"/>
          <w:lang w:val="en-GB"/>
        </w:rPr>
        <w:t xml:space="preserve"> </w:t>
      </w:r>
      <w:r w:rsidR="0091357A" w:rsidRPr="00336C11">
        <w:rPr>
          <w:sz w:val="22"/>
          <w:szCs w:val="22"/>
          <w:lang w:val="en-GB"/>
        </w:rPr>
        <w:t>inducement</w:t>
      </w:r>
      <w:r w:rsidR="00FF7891">
        <w:rPr>
          <w:sz w:val="22"/>
          <w:szCs w:val="22"/>
          <w:lang w:val="en-GB"/>
        </w:rPr>
        <w:t xml:space="preserve"> that would justify the exchange</w:t>
      </w:r>
      <w:r w:rsidR="00AC6636" w:rsidRPr="00336C11">
        <w:rPr>
          <w:sz w:val="22"/>
          <w:szCs w:val="22"/>
          <w:lang w:val="en-GB"/>
        </w:rPr>
        <w:t>.</w:t>
      </w:r>
      <w:r w:rsidR="00DB4E6D" w:rsidRPr="00336C11">
        <w:rPr>
          <w:rStyle w:val="FootnoteReference"/>
          <w:rFonts w:ascii="Times New Roman" w:hAnsi="Times New Roman"/>
          <w:sz w:val="22"/>
          <w:szCs w:val="22"/>
          <w:lang w:val="en-GB"/>
        </w:rPr>
        <w:footnoteReference w:id="48"/>
      </w:r>
      <w:r w:rsidR="00DB4E6D" w:rsidRPr="00336C11">
        <w:rPr>
          <w:sz w:val="22"/>
          <w:szCs w:val="22"/>
          <w:lang w:val="en-GB"/>
        </w:rPr>
        <w:t xml:space="preserve"> </w:t>
      </w:r>
      <w:r w:rsidR="00124B66">
        <w:rPr>
          <w:sz w:val="22"/>
          <w:szCs w:val="22"/>
          <w:lang w:val="en-GB"/>
        </w:rPr>
        <w:t xml:space="preserve">That is, </w:t>
      </w:r>
      <w:r w:rsidR="00245E7C">
        <w:rPr>
          <w:sz w:val="22"/>
          <w:szCs w:val="22"/>
          <w:lang w:val="en-GB"/>
        </w:rPr>
        <w:t>L</w:t>
      </w:r>
      <w:r w:rsidR="00177A06" w:rsidRPr="00336C11">
        <w:rPr>
          <w:sz w:val="22"/>
          <w:szCs w:val="22"/>
          <w:lang w:val="en-GB"/>
        </w:rPr>
        <w:t>P</w:t>
      </w:r>
      <w:r w:rsidR="00177A06" w:rsidRPr="00336C11">
        <w:rPr>
          <w:sz w:val="22"/>
          <w:szCs w:val="22"/>
          <w:vertAlign w:val="subscript"/>
          <w:lang w:val="en-GB"/>
        </w:rPr>
        <w:t>1</w:t>
      </w:r>
      <w:r w:rsidR="00124B66">
        <w:rPr>
          <w:sz w:val="22"/>
          <w:szCs w:val="22"/>
          <w:lang w:val="en-GB"/>
        </w:rPr>
        <w:t>=</w:t>
      </w:r>
      <w:r w:rsidR="00245E7C">
        <w:rPr>
          <w:sz w:val="22"/>
          <w:szCs w:val="22"/>
          <w:lang w:val="en-GB"/>
        </w:rPr>
        <w:t>L</w:t>
      </w:r>
      <w:r w:rsidR="00177A06" w:rsidRPr="00336C11">
        <w:rPr>
          <w:sz w:val="22"/>
          <w:szCs w:val="22"/>
          <w:lang w:val="en-GB"/>
        </w:rPr>
        <w:t>P</w:t>
      </w:r>
      <w:r w:rsidR="00177A06" w:rsidRPr="00336C11">
        <w:rPr>
          <w:sz w:val="22"/>
          <w:szCs w:val="22"/>
          <w:vertAlign w:val="subscript"/>
          <w:lang w:val="en-GB"/>
        </w:rPr>
        <w:t>2</w:t>
      </w:r>
      <w:r w:rsidR="00177A06" w:rsidRPr="00336C11">
        <w:rPr>
          <w:sz w:val="22"/>
          <w:szCs w:val="22"/>
          <w:lang w:val="en-GB"/>
        </w:rPr>
        <w:t>=</w:t>
      </w:r>
      <w:r w:rsidR="00124B66">
        <w:rPr>
          <w:sz w:val="22"/>
          <w:szCs w:val="22"/>
          <w:lang w:val="en-GB"/>
        </w:rPr>
        <w:t>DFV</w:t>
      </w:r>
      <w:r w:rsidR="00177A06" w:rsidRPr="00336C11">
        <w:rPr>
          <w:sz w:val="22"/>
          <w:szCs w:val="22"/>
          <w:lang w:val="en-GB"/>
        </w:rPr>
        <w:t>+X</w:t>
      </w:r>
      <w:r w:rsidR="00ED304E" w:rsidRPr="00336C11">
        <w:rPr>
          <w:sz w:val="22"/>
          <w:szCs w:val="22"/>
          <w:lang w:val="en-GB"/>
        </w:rPr>
        <w:t xml:space="preserve">. </w:t>
      </w:r>
      <w:r>
        <w:rPr>
          <w:sz w:val="22"/>
          <w:szCs w:val="22"/>
          <w:lang w:val="en-GB"/>
        </w:rPr>
        <w:t xml:space="preserve">The highest price </w:t>
      </w:r>
      <w:r w:rsidR="002C43CD">
        <w:rPr>
          <w:sz w:val="22"/>
          <w:szCs w:val="22"/>
          <w:lang w:val="en-GB"/>
        </w:rPr>
        <w:t xml:space="preserve">is equal to the difference between post-deadlock firm value </w:t>
      </w:r>
      <w:r>
        <w:rPr>
          <w:sz w:val="22"/>
          <w:szCs w:val="22"/>
          <w:lang w:val="en-GB"/>
        </w:rPr>
        <w:t xml:space="preserve">PDFV </w:t>
      </w:r>
      <w:r w:rsidR="002C43CD">
        <w:rPr>
          <w:sz w:val="22"/>
          <w:szCs w:val="22"/>
          <w:lang w:val="en-GB"/>
        </w:rPr>
        <w:t xml:space="preserve">and the value that that either shareholding has under the </w:t>
      </w:r>
      <w:r w:rsidR="002C43CD" w:rsidRPr="002C43CD">
        <w:rPr>
          <w:sz w:val="22"/>
          <w:szCs w:val="22"/>
          <w:lang w:val="en-GB"/>
        </w:rPr>
        <w:t>status quo</w:t>
      </w:r>
      <w:r w:rsidR="002C43CD">
        <w:rPr>
          <w:sz w:val="22"/>
          <w:szCs w:val="22"/>
          <w:lang w:val="en-GB"/>
        </w:rPr>
        <w:t xml:space="preserve"> </w:t>
      </w:r>
      <w:r w:rsidR="00DB4E6D" w:rsidRPr="00336C11">
        <w:rPr>
          <w:i/>
          <w:sz w:val="22"/>
          <w:szCs w:val="22"/>
          <w:lang w:val="en-GB"/>
        </w:rPr>
        <w:t>minus</w:t>
      </w:r>
      <w:r w:rsidR="00DB4E6D" w:rsidRPr="00336C11">
        <w:rPr>
          <w:sz w:val="22"/>
          <w:szCs w:val="22"/>
          <w:lang w:val="en-GB"/>
        </w:rPr>
        <w:t xml:space="preserve"> </w:t>
      </w:r>
      <w:r w:rsidR="0091357A" w:rsidRPr="00336C11">
        <w:rPr>
          <w:sz w:val="22"/>
          <w:szCs w:val="22"/>
          <w:lang w:val="en-GB"/>
        </w:rPr>
        <w:t>a potentially infinitesimal inducement</w:t>
      </w:r>
      <w:r>
        <w:rPr>
          <w:sz w:val="22"/>
          <w:szCs w:val="22"/>
          <w:lang w:val="en-GB"/>
        </w:rPr>
        <w:t xml:space="preserve"> that </w:t>
      </w:r>
      <w:r w:rsidR="00FF7891">
        <w:rPr>
          <w:sz w:val="22"/>
          <w:szCs w:val="22"/>
          <w:lang w:val="en-GB"/>
        </w:rPr>
        <w:t xml:space="preserve">would </w:t>
      </w:r>
      <w:r>
        <w:rPr>
          <w:sz w:val="22"/>
          <w:szCs w:val="22"/>
          <w:lang w:val="en-GB"/>
        </w:rPr>
        <w:t>justif</w:t>
      </w:r>
      <w:r w:rsidR="00FF7891">
        <w:rPr>
          <w:sz w:val="22"/>
          <w:szCs w:val="22"/>
          <w:lang w:val="en-GB"/>
        </w:rPr>
        <w:t>y</w:t>
      </w:r>
      <w:r>
        <w:rPr>
          <w:sz w:val="22"/>
          <w:szCs w:val="22"/>
          <w:lang w:val="en-GB"/>
        </w:rPr>
        <w:t xml:space="preserve"> the exchange</w:t>
      </w:r>
      <w:r w:rsidR="00FF7891">
        <w:rPr>
          <w:sz w:val="22"/>
          <w:szCs w:val="22"/>
          <w:lang w:val="en-GB"/>
        </w:rPr>
        <w:t>.</w:t>
      </w:r>
      <w:r w:rsidR="00DB4E6D" w:rsidRPr="00336C11">
        <w:rPr>
          <w:rStyle w:val="FootnoteReference"/>
          <w:rFonts w:ascii="Times New Roman" w:hAnsi="Times New Roman"/>
          <w:sz w:val="22"/>
          <w:szCs w:val="22"/>
          <w:lang w:val="en-GB"/>
        </w:rPr>
        <w:footnoteReference w:id="49"/>
      </w:r>
      <w:r w:rsidR="00DB4E6D" w:rsidRPr="00336C11">
        <w:rPr>
          <w:sz w:val="22"/>
          <w:szCs w:val="22"/>
          <w:lang w:val="en-GB"/>
        </w:rPr>
        <w:t xml:space="preserve"> </w:t>
      </w:r>
      <w:r w:rsidR="00455547">
        <w:rPr>
          <w:sz w:val="22"/>
          <w:szCs w:val="22"/>
          <w:lang w:val="en-GB"/>
        </w:rPr>
        <w:t xml:space="preserve">That is, </w:t>
      </w:r>
      <w:r w:rsidR="00DB4E6D" w:rsidRPr="00336C11">
        <w:rPr>
          <w:sz w:val="22"/>
          <w:szCs w:val="22"/>
          <w:lang w:val="en-GB"/>
        </w:rPr>
        <w:t>HP</w:t>
      </w:r>
      <w:r w:rsidR="00DB4E6D" w:rsidRPr="00336C11">
        <w:rPr>
          <w:sz w:val="22"/>
          <w:szCs w:val="22"/>
          <w:vertAlign w:val="subscript"/>
          <w:lang w:val="en-GB"/>
        </w:rPr>
        <w:t>1</w:t>
      </w:r>
      <w:r w:rsidRPr="00E76BB2">
        <w:rPr>
          <w:sz w:val="22"/>
          <w:szCs w:val="22"/>
          <w:lang w:val="en-GB"/>
        </w:rPr>
        <w:t>=</w:t>
      </w:r>
      <w:r w:rsidR="00426A3F" w:rsidRPr="00336C11">
        <w:rPr>
          <w:sz w:val="22"/>
          <w:szCs w:val="22"/>
          <w:lang w:val="en-GB"/>
        </w:rPr>
        <w:t>HP</w:t>
      </w:r>
      <w:r w:rsidR="00426A3F" w:rsidRPr="00336C11">
        <w:rPr>
          <w:sz w:val="22"/>
          <w:szCs w:val="22"/>
          <w:vertAlign w:val="subscript"/>
          <w:lang w:val="en-GB"/>
        </w:rPr>
        <w:t>2</w:t>
      </w:r>
      <w:r w:rsidR="007E5C23">
        <w:rPr>
          <w:sz w:val="22"/>
          <w:szCs w:val="22"/>
          <w:lang w:val="en-GB"/>
        </w:rPr>
        <w:t>=</w:t>
      </w:r>
      <w:r w:rsidR="009C069C">
        <w:rPr>
          <w:sz w:val="22"/>
          <w:szCs w:val="22"/>
          <w:lang w:val="en-GB"/>
        </w:rPr>
        <w:t>(</w:t>
      </w:r>
      <w:r w:rsidR="007E5C23">
        <w:rPr>
          <w:sz w:val="22"/>
          <w:szCs w:val="22"/>
          <w:lang w:val="en-GB"/>
        </w:rPr>
        <w:t>PDFV</w:t>
      </w:r>
      <w:r w:rsidR="009C069C">
        <w:rPr>
          <w:sz w:val="22"/>
          <w:szCs w:val="22"/>
          <w:lang w:val="en-GB"/>
        </w:rPr>
        <w:t>-DFV</w:t>
      </w:r>
      <w:r w:rsidR="007E5C23">
        <w:rPr>
          <w:sz w:val="22"/>
          <w:szCs w:val="22"/>
          <w:lang w:val="en-GB"/>
        </w:rPr>
        <w:t>/2</w:t>
      </w:r>
      <w:r w:rsidR="009C069C">
        <w:rPr>
          <w:sz w:val="22"/>
          <w:szCs w:val="22"/>
          <w:lang w:val="en-GB"/>
        </w:rPr>
        <w:t>)</w:t>
      </w:r>
      <w:r w:rsidR="007E5C23">
        <w:rPr>
          <w:sz w:val="22"/>
          <w:szCs w:val="22"/>
          <w:lang w:val="en-GB"/>
        </w:rPr>
        <w:t>-</w:t>
      </w:r>
      <w:r w:rsidR="006D65D7" w:rsidRPr="00336C11">
        <w:rPr>
          <w:sz w:val="22"/>
          <w:szCs w:val="22"/>
          <w:lang w:val="en-GB"/>
        </w:rPr>
        <w:t>X</w:t>
      </w:r>
      <w:r w:rsidR="00177A06" w:rsidRPr="00336C11">
        <w:rPr>
          <w:sz w:val="22"/>
          <w:szCs w:val="22"/>
          <w:lang w:val="en-GB"/>
        </w:rPr>
        <w:t xml:space="preserve">. </w:t>
      </w:r>
    </w:p>
    <w:p w14:paraId="79A129CA" w14:textId="5F7D8B2D" w:rsidR="007717DC" w:rsidRDefault="00E76BB2" w:rsidP="006A00BB">
      <w:pPr>
        <w:ind w:firstLine="567"/>
        <w:jc w:val="both"/>
        <w:rPr>
          <w:sz w:val="22"/>
          <w:szCs w:val="22"/>
          <w:lang w:val="en-GB"/>
        </w:rPr>
      </w:pPr>
      <w:r w:rsidRPr="00336C11">
        <w:rPr>
          <w:sz w:val="22"/>
          <w:szCs w:val="22"/>
          <w:lang w:val="en-GB"/>
        </w:rPr>
        <w:t xml:space="preserve">Under these circumstances, either deadlocked shareholder would </w:t>
      </w:r>
      <w:r>
        <w:rPr>
          <w:sz w:val="22"/>
          <w:szCs w:val="22"/>
          <w:lang w:val="en-GB"/>
        </w:rPr>
        <w:t xml:space="preserve">try to improve his </w:t>
      </w:r>
      <w:r w:rsidR="00FF7891">
        <w:rPr>
          <w:sz w:val="22"/>
          <w:szCs w:val="22"/>
          <w:lang w:val="en-GB"/>
        </w:rPr>
        <w:t xml:space="preserve">current </w:t>
      </w:r>
      <w:r w:rsidRPr="00336C11">
        <w:rPr>
          <w:sz w:val="22"/>
          <w:szCs w:val="22"/>
          <w:lang w:val="en-GB"/>
        </w:rPr>
        <w:t xml:space="preserve">position </w:t>
      </w:r>
      <w:r>
        <w:rPr>
          <w:sz w:val="22"/>
          <w:szCs w:val="22"/>
          <w:lang w:val="en-GB"/>
        </w:rPr>
        <w:t xml:space="preserve">by </w:t>
      </w:r>
      <w:r w:rsidRPr="00336C11">
        <w:rPr>
          <w:sz w:val="22"/>
          <w:szCs w:val="22"/>
          <w:lang w:val="en-GB"/>
        </w:rPr>
        <w:t xml:space="preserve">either </w:t>
      </w:r>
      <w:r>
        <w:rPr>
          <w:sz w:val="22"/>
          <w:szCs w:val="22"/>
          <w:lang w:val="en-GB"/>
        </w:rPr>
        <w:t xml:space="preserve">selling </w:t>
      </w:r>
      <w:r w:rsidRPr="00336C11">
        <w:rPr>
          <w:sz w:val="22"/>
          <w:szCs w:val="22"/>
          <w:lang w:val="en-GB"/>
        </w:rPr>
        <w:t>his own shareholding or buy</w:t>
      </w:r>
      <w:r>
        <w:rPr>
          <w:sz w:val="22"/>
          <w:szCs w:val="22"/>
          <w:lang w:val="en-GB"/>
        </w:rPr>
        <w:t>ing</w:t>
      </w:r>
      <w:r w:rsidRPr="00336C11">
        <w:rPr>
          <w:sz w:val="22"/>
          <w:szCs w:val="22"/>
          <w:lang w:val="en-GB"/>
        </w:rPr>
        <w:t xml:space="preserve"> the other deadlocked shareholder’s shareholding</w:t>
      </w:r>
      <w:r>
        <w:rPr>
          <w:sz w:val="22"/>
          <w:szCs w:val="22"/>
          <w:lang w:val="en-GB"/>
        </w:rPr>
        <w:t xml:space="preserve">. Intuitively, either deadlocked shareholder would </w:t>
      </w:r>
      <w:r w:rsidR="00D810CB" w:rsidRPr="00336C11">
        <w:rPr>
          <w:iCs/>
          <w:sz w:val="22"/>
          <w:szCs w:val="22"/>
          <w:lang w:val="en-GB"/>
        </w:rPr>
        <w:t>self-interestedly</w:t>
      </w:r>
      <w:r w:rsidR="00B05304" w:rsidRPr="00336C11">
        <w:rPr>
          <w:iCs/>
          <w:sz w:val="22"/>
          <w:szCs w:val="22"/>
          <w:lang w:val="en-GB"/>
        </w:rPr>
        <w:t xml:space="preserve"> </w:t>
      </w:r>
      <w:r w:rsidR="00124B66">
        <w:rPr>
          <w:iCs/>
          <w:sz w:val="22"/>
          <w:szCs w:val="22"/>
          <w:lang w:val="en-GB"/>
        </w:rPr>
        <w:t xml:space="preserve">seek to capture </w:t>
      </w:r>
      <w:r w:rsidR="00B05304" w:rsidRPr="00336C11">
        <w:rPr>
          <w:sz w:val="22"/>
          <w:szCs w:val="22"/>
          <w:lang w:val="en-GB"/>
        </w:rPr>
        <w:t xml:space="preserve"> the greatest fraction possible of the </w:t>
      </w:r>
      <w:r w:rsidR="00D73D56" w:rsidRPr="00336C11">
        <w:rPr>
          <w:sz w:val="22"/>
          <w:szCs w:val="22"/>
          <w:lang w:val="en-GB"/>
        </w:rPr>
        <w:t xml:space="preserve">additional fraction of value </w:t>
      </w:r>
      <w:r w:rsidR="00B05304" w:rsidRPr="00336C11">
        <w:rPr>
          <w:sz w:val="22"/>
          <w:szCs w:val="22"/>
          <w:lang w:val="en-GB"/>
        </w:rPr>
        <w:t xml:space="preserve">D that </w:t>
      </w:r>
      <w:r w:rsidR="00486EA4" w:rsidRPr="00336C11">
        <w:rPr>
          <w:sz w:val="22"/>
          <w:szCs w:val="22"/>
          <w:lang w:val="en-GB"/>
        </w:rPr>
        <w:t xml:space="preserve">overcoming the shareholder deadlock </w:t>
      </w:r>
      <w:r w:rsidR="009B6D0D">
        <w:rPr>
          <w:sz w:val="22"/>
          <w:szCs w:val="22"/>
          <w:lang w:val="en-GB"/>
        </w:rPr>
        <w:t>would create</w:t>
      </w:r>
      <w:r w:rsidR="00124B66">
        <w:rPr>
          <w:sz w:val="22"/>
          <w:szCs w:val="22"/>
          <w:lang w:val="en-GB"/>
        </w:rPr>
        <w:t xml:space="preserve"> by either </w:t>
      </w:r>
      <w:r w:rsidR="005334DC" w:rsidRPr="00336C11">
        <w:rPr>
          <w:sz w:val="22"/>
          <w:szCs w:val="22"/>
          <w:lang w:val="en-GB"/>
        </w:rPr>
        <w:t>downsiz</w:t>
      </w:r>
      <w:r w:rsidR="00124B66">
        <w:rPr>
          <w:sz w:val="22"/>
          <w:szCs w:val="22"/>
          <w:lang w:val="en-GB"/>
        </w:rPr>
        <w:t>ing</w:t>
      </w:r>
      <w:r w:rsidR="005334DC" w:rsidRPr="00336C11">
        <w:rPr>
          <w:sz w:val="22"/>
          <w:szCs w:val="22"/>
          <w:lang w:val="en-GB"/>
        </w:rPr>
        <w:t xml:space="preserve"> or increment</w:t>
      </w:r>
      <w:r w:rsidR="00124B66">
        <w:rPr>
          <w:sz w:val="22"/>
          <w:szCs w:val="22"/>
          <w:lang w:val="en-GB"/>
        </w:rPr>
        <w:t>ing</w:t>
      </w:r>
      <w:r w:rsidR="005334DC" w:rsidRPr="00336C11">
        <w:rPr>
          <w:sz w:val="22"/>
          <w:szCs w:val="22"/>
          <w:lang w:val="en-GB"/>
        </w:rPr>
        <w:t xml:space="preserve"> X, </w:t>
      </w:r>
      <w:r w:rsidR="00656085" w:rsidRPr="00336C11">
        <w:rPr>
          <w:sz w:val="22"/>
          <w:szCs w:val="22"/>
          <w:lang w:val="en-GB"/>
        </w:rPr>
        <w:t>depending on whether he is</w:t>
      </w:r>
      <w:r w:rsidR="005334DC" w:rsidRPr="00336C11">
        <w:rPr>
          <w:sz w:val="22"/>
          <w:szCs w:val="22"/>
          <w:lang w:val="en-GB"/>
        </w:rPr>
        <w:t xml:space="preserve"> </w:t>
      </w:r>
      <w:r w:rsidR="00D810CB" w:rsidRPr="00336C11">
        <w:rPr>
          <w:sz w:val="22"/>
          <w:szCs w:val="22"/>
          <w:lang w:val="en-GB"/>
        </w:rPr>
        <w:t>acting as a buyer or a seller</w:t>
      </w:r>
      <w:r w:rsidR="005334DC" w:rsidRPr="00336C11">
        <w:rPr>
          <w:sz w:val="22"/>
          <w:szCs w:val="22"/>
          <w:lang w:val="en-GB"/>
        </w:rPr>
        <w:t>, respectively.</w:t>
      </w:r>
      <w:r w:rsidR="00D810CB" w:rsidRPr="00336C11">
        <w:rPr>
          <w:sz w:val="22"/>
          <w:szCs w:val="22"/>
          <w:lang w:val="en-GB"/>
        </w:rPr>
        <w:t xml:space="preserve"> </w:t>
      </w:r>
    </w:p>
    <w:p w14:paraId="1F4E1C95" w14:textId="7CB2FD02" w:rsidR="00D810CB" w:rsidRPr="00336C11" w:rsidRDefault="0009156B" w:rsidP="006A00BB">
      <w:pPr>
        <w:ind w:firstLine="567"/>
        <w:jc w:val="both"/>
        <w:rPr>
          <w:sz w:val="22"/>
          <w:szCs w:val="22"/>
          <w:lang w:val="en-GB"/>
        </w:rPr>
      </w:pPr>
      <w:r w:rsidRPr="00336C11">
        <w:rPr>
          <w:sz w:val="22"/>
          <w:szCs w:val="22"/>
          <w:lang w:val="en-GB"/>
        </w:rPr>
        <w:t>Against this backdrop, i</w:t>
      </w:r>
      <w:r w:rsidR="00D73D56" w:rsidRPr="00336C11">
        <w:rPr>
          <w:sz w:val="22"/>
          <w:szCs w:val="22"/>
          <w:lang w:val="en-GB"/>
        </w:rPr>
        <w:t xml:space="preserve">nsofar as </w:t>
      </w:r>
      <w:r w:rsidR="00E601ED" w:rsidRPr="00336C11">
        <w:rPr>
          <w:sz w:val="22"/>
          <w:szCs w:val="22"/>
          <w:lang w:val="en-GB"/>
        </w:rPr>
        <w:t>no barrier</w:t>
      </w:r>
      <w:r w:rsidR="00D73D56" w:rsidRPr="00336C11">
        <w:rPr>
          <w:sz w:val="22"/>
          <w:szCs w:val="22"/>
          <w:lang w:val="en-GB"/>
        </w:rPr>
        <w:t>s</w:t>
      </w:r>
      <w:r w:rsidR="00E601ED" w:rsidRPr="00336C11">
        <w:rPr>
          <w:sz w:val="22"/>
          <w:szCs w:val="22"/>
          <w:lang w:val="en-GB"/>
        </w:rPr>
        <w:t xml:space="preserve"> to negotiations exist, Coasian bargaining would </w:t>
      </w:r>
      <w:r w:rsidR="00FA3C2B" w:rsidRPr="00336C11">
        <w:rPr>
          <w:sz w:val="22"/>
          <w:szCs w:val="22"/>
          <w:lang w:val="en-GB"/>
        </w:rPr>
        <w:t xml:space="preserve">sooner than later </w:t>
      </w:r>
      <w:r w:rsidR="00E601ED" w:rsidRPr="00336C11">
        <w:rPr>
          <w:sz w:val="22"/>
          <w:szCs w:val="22"/>
          <w:lang w:val="en-GB"/>
        </w:rPr>
        <w:t>likely prevail,</w:t>
      </w:r>
      <w:r w:rsidR="00E601ED" w:rsidRPr="00336C11">
        <w:rPr>
          <w:rStyle w:val="FootnoteReference"/>
          <w:rFonts w:ascii="Times New Roman" w:hAnsi="Times New Roman"/>
          <w:sz w:val="22"/>
          <w:szCs w:val="22"/>
          <w:lang w:val="en-GB"/>
        </w:rPr>
        <w:footnoteReference w:id="50"/>
      </w:r>
      <w:r w:rsidR="0077442E" w:rsidRPr="00336C11">
        <w:rPr>
          <w:sz w:val="22"/>
          <w:szCs w:val="22"/>
          <w:lang w:val="en-GB"/>
        </w:rPr>
        <w:t xml:space="preserve"> </w:t>
      </w:r>
      <w:r w:rsidR="00503A2D">
        <w:rPr>
          <w:sz w:val="22"/>
          <w:szCs w:val="22"/>
          <w:lang w:val="en-GB"/>
        </w:rPr>
        <w:t xml:space="preserve">with </w:t>
      </w:r>
      <w:r w:rsidR="0077442E" w:rsidRPr="00336C11">
        <w:rPr>
          <w:sz w:val="22"/>
          <w:szCs w:val="22"/>
          <w:lang w:val="en-GB"/>
        </w:rPr>
        <w:t>t</w:t>
      </w:r>
      <w:r w:rsidR="00E601ED" w:rsidRPr="00336C11">
        <w:rPr>
          <w:sz w:val="22"/>
          <w:szCs w:val="22"/>
          <w:lang w:val="en-GB"/>
        </w:rPr>
        <w:t xml:space="preserve">he deadlocked shareholders </w:t>
      </w:r>
      <w:r w:rsidR="00656085" w:rsidRPr="00336C11">
        <w:rPr>
          <w:sz w:val="22"/>
          <w:szCs w:val="22"/>
          <w:lang w:val="en-GB"/>
        </w:rPr>
        <w:t xml:space="preserve">accordingly </w:t>
      </w:r>
      <w:r w:rsidR="0077442E" w:rsidRPr="00336C11">
        <w:rPr>
          <w:sz w:val="22"/>
          <w:szCs w:val="22"/>
          <w:lang w:val="en-GB"/>
        </w:rPr>
        <w:t>agree</w:t>
      </w:r>
      <w:r w:rsidR="00503A2D">
        <w:rPr>
          <w:sz w:val="22"/>
          <w:szCs w:val="22"/>
          <w:lang w:val="en-GB"/>
        </w:rPr>
        <w:t>ing</w:t>
      </w:r>
      <w:r w:rsidR="0077442E" w:rsidRPr="00336C11">
        <w:rPr>
          <w:sz w:val="22"/>
          <w:szCs w:val="22"/>
          <w:lang w:val="en-GB"/>
        </w:rPr>
        <w:t xml:space="preserve"> </w:t>
      </w:r>
      <w:r w:rsidR="00E601ED" w:rsidRPr="00336C11">
        <w:rPr>
          <w:sz w:val="22"/>
          <w:szCs w:val="22"/>
          <w:lang w:val="en-GB"/>
        </w:rPr>
        <w:t>for one to buy out the other</w:t>
      </w:r>
      <w:r w:rsidR="008C55D9" w:rsidRPr="00336C11">
        <w:rPr>
          <w:sz w:val="22"/>
          <w:szCs w:val="22"/>
          <w:lang w:val="en-GB"/>
        </w:rPr>
        <w:t xml:space="preserve"> for a price </w:t>
      </w:r>
      <w:r w:rsidR="00E359A8">
        <w:rPr>
          <w:sz w:val="22"/>
          <w:szCs w:val="22"/>
          <w:lang w:val="en-GB"/>
        </w:rPr>
        <w:t xml:space="preserve">that </w:t>
      </w:r>
      <w:r w:rsidR="00503A2D">
        <w:rPr>
          <w:sz w:val="22"/>
          <w:szCs w:val="22"/>
          <w:lang w:val="en-GB"/>
        </w:rPr>
        <w:t xml:space="preserve">incorporates </w:t>
      </w:r>
      <w:r w:rsidR="00D810CB" w:rsidRPr="00336C11">
        <w:rPr>
          <w:sz w:val="22"/>
          <w:szCs w:val="22"/>
          <w:lang w:val="en-GB"/>
        </w:rPr>
        <w:t xml:space="preserve">a given fraction of </w:t>
      </w:r>
      <w:r w:rsidR="008C55D9" w:rsidRPr="00336C11">
        <w:rPr>
          <w:sz w:val="22"/>
          <w:szCs w:val="22"/>
          <w:lang w:val="en-GB"/>
        </w:rPr>
        <w:t>D.</w:t>
      </w:r>
      <w:r w:rsidR="00051483" w:rsidRPr="00336C11">
        <w:rPr>
          <w:rStyle w:val="FootnoteReference"/>
          <w:rFonts w:ascii="Times New Roman" w:hAnsi="Times New Roman"/>
          <w:sz w:val="22"/>
          <w:szCs w:val="22"/>
          <w:lang w:val="en-GB"/>
        </w:rPr>
        <w:footnoteReference w:id="51"/>
      </w:r>
      <w:r w:rsidR="00F773CF" w:rsidRPr="00336C11">
        <w:rPr>
          <w:sz w:val="22"/>
          <w:szCs w:val="22"/>
          <w:lang w:val="en-GB"/>
        </w:rPr>
        <w:t xml:space="preserve"> </w:t>
      </w:r>
    </w:p>
    <w:p w14:paraId="4C6311C4" w14:textId="53D06785" w:rsidR="00962E1D" w:rsidRPr="00497127" w:rsidRDefault="00124B66" w:rsidP="007915CD">
      <w:pPr>
        <w:ind w:firstLine="567"/>
        <w:jc w:val="both"/>
        <w:rPr>
          <w:sz w:val="22"/>
          <w:szCs w:val="22"/>
          <w:lang w:val="en-US"/>
        </w:rPr>
      </w:pPr>
      <w:r>
        <w:rPr>
          <w:sz w:val="22"/>
          <w:szCs w:val="22"/>
          <w:lang w:val="en-GB"/>
        </w:rPr>
        <w:t xml:space="preserve">Intuitively, </w:t>
      </w:r>
      <w:r w:rsidR="00455547">
        <w:rPr>
          <w:sz w:val="22"/>
          <w:szCs w:val="22"/>
          <w:lang w:val="en-GB"/>
        </w:rPr>
        <w:t xml:space="preserve">chances are that </w:t>
      </w:r>
      <w:r>
        <w:rPr>
          <w:sz w:val="22"/>
          <w:szCs w:val="22"/>
          <w:lang w:val="en-GB"/>
        </w:rPr>
        <w:t>t</w:t>
      </w:r>
      <w:r w:rsidRPr="00336C11">
        <w:rPr>
          <w:sz w:val="22"/>
          <w:szCs w:val="22"/>
          <w:lang w:val="en-GB"/>
        </w:rPr>
        <w:t xml:space="preserve">he deadlocked shareholders </w:t>
      </w:r>
      <w:r>
        <w:rPr>
          <w:sz w:val="22"/>
          <w:szCs w:val="22"/>
          <w:lang w:val="en-GB"/>
        </w:rPr>
        <w:t xml:space="preserve">may then end striking a bargain whereby they </w:t>
      </w:r>
      <w:r w:rsidRPr="00336C11">
        <w:rPr>
          <w:sz w:val="22"/>
          <w:szCs w:val="22"/>
          <w:lang w:val="en-GB"/>
        </w:rPr>
        <w:t>split post-deadlock firm value equally</w:t>
      </w:r>
      <w:r>
        <w:rPr>
          <w:sz w:val="22"/>
          <w:szCs w:val="22"/>
          <w:lang w:val="en-GB"/>
        </w:rPr>
        <w:t xml:space="preserve">, so that either deadlocked shareholder receives PDFV/2. </w:t>
      </w:r>
      <w:r w:rsidR="006D5DCC" w:rsidRPr="00336C11">
        <w:rPr>
          <w:sz w:val="22"/>
          <w:szCs w:val="22"/>
          <w:lang w:val="en-GB"/>
        </w:rPr>
        <w:t xml:space="preserve">Yet, </w:t>
      </w:r>
      <w:r w:rsidR="0009156B" w:rsidRPr="00336C11">
        <w:rPr>
          <w:sz w:val="22"/>
          <w:szCs w:val="22"/>
          <w:lang w:val="en-GB"/>
        </w:rPr>
        <w:t xml:space="preserve">the deadlocked shareholders’ </w:t>
      </w:r>
      <w:r w:rsidR="006D65D7" w:rsidRPr="00336C11">
        <w:rPr>
          <w:sz w:val="22"/>
          <w:szCs w:val="22"/>
          <w:lang w:val="en-GB"/>
        </w:rPr>
        <w:t>outside</w:t>
      </w:r>
      <w:r w:rsidR="00E514CC" w:rsidRPr="00336C11">
        <w:rPr>
          <w:sz w:val="22"/>
          <w:szCs w:val="22"/>
          <w:lang w:val="en-GB"/>
        </w:rPr>
        <w:t xml:space="preserve"> option</w:t>
      </w:r>
      <w:r w:rsidR="00E31BEA" w:rsidRPr="00336C11">
        <w:rPr>
          <w:sz w:val="22"/>
          <w:szCs w:val="22"/>
          <w:lang w:val="en-GB"/>
        </w:rPr>
        <w:t>s</w:t>
      </w:r>
      <w:r w:rsidR="00E514CC" w:rsidRPr="00336C11">
        <w:rPr>
          <w:sz w:val="22"/>
          <w:szCs w:val="22"/>
          <w:lang w:val="en-GB"/>
        </w:rPr>
        <w:t xml:space="preserve"> </w:t>
      </w:r>
      <w:r w:rsidR="00D73D56" w:rsidRPr="00336C11">
        <w:rPr>
          <w:sz w:val="22"/>
          <w:szCs w:val="22"/>
          <w:lang w:val="en-GB"/>
        </w:rPr>
        <w:t xml:space="preserve">are </w:t>
      </w:r>
      <w:r w:rsidR="00486EA4" w:rsidRPr="00336C11">
        <w:rPr>
          <w:sz w:val="22"/>
          <w:szCs w:val="22"/>
          <w:lang w:val="en-GB"/>
        </w:rPr>
        <w:t>inefficient</w:t>
      </w:r>
      <w:r w:rsidR="00D73D56" w:rsidRPr="00336C11">
        <w:rPr>
          <w:sz w:val="22"/>
          <w:szCs w:val="22"/>
          <w:lang w:val="en-GB"/>
        </w:rPr>
        <w:t xml:space="preserve">, </w:t>
      </w:r>
      <w:r w:rsidR="00486EA4" w:rsidRPr="00336C11">
        <w:rPr>
          <w:sz w:val="22"/>
          <w:szCs w:val="22"/>
          <w:lang w:val="en-GB"/>
        </w:rPr>
        <w:t>for OP</w:t>
      </w:r>
      <w:r w:rsidR="00486EA4" w:rsidRPr="00336C11">
        <w:rPr>
          <w:sz w:val="22"/>
          <w:szCs w:val="22"/>
          <w:vertAlign w:val="subscript"/>
          <w:lang w:val="en-GB"/>
        </w:rPr>
        <w:t>1</w:t>
      </w:r>
      <w:r w:rsidR="00486EA4" w:rsidRPr="00336C11">
        <w:rPr>
          <w:sz w:val="22"/>
          <w:szCs w:val="22"/>
          <w:lang w:val="en-GB"/>
        </w:rPr>
        <w:t>=OP</w:t>
      </w:r>
      <w:r w:rsidR="00486EA4" w:rsidRPr="00336C11">
        <w:rPr>
          <w:sz w:val="22"/>
          <w:szCs w:val="22"/>
          <w:vertAlign w:val="subscript"/>
          <w:lang w:val="en-GB"/>
        </w:rPr>
        <w:t>2</w:t>
      </w:r>
      <w:r w:rsidR="00486EA4" w:rsidRPr="00336C11">
        <w:rPr>
          <w:sz w:val="22"/>
          <w:szCs w:val="22"/>
          <w:lang w:val="en-GB"/>
        </w:rPr>
        <w:t>=DFV/2</w:t>
      </w:r>
      <w:r w:rsidR="007915CD">
        <w:rPr>
          <w:sz w:val="22"/>
          <w:szCs w:val="22"/>
          <w:lang w:val="en-GB"/>
        </w:rPr>
        <w:t>;</w:t>
      </w:r>
      <w:r w:rsidR="00E76BB2">
        <w:rPr>
          <w:sz w:val="22"/>
          <w:szCs w:val="22"/>
          <w:lang w:val="en-GB"/>
        </w:rPr>
        <w:t> </w:t>
      </w:r>
      <w:r w:rsidR="00E514CC" w:rsidRPr="00336C11">
        <w:rPr>
          <w:sz w:val="22"/>
          <w:szCs w:val="22"/>
          <w:lang w:val="en-GB"/>
        </w:rPr>
        <w:t>and</w:t>
      </w:r>
      <w:r w:rsidR="00E76BB2">
        <w:rPr>
          <w:sz w:val="22"/>
          <w:szCs w:val="22"/>
          <w:lang w:val="en-GB"/>
        </w:rPr>
        <w:t xml:space="preserve"> </w:t>
      </w:r>
      <w:r w:rsidR="00E514CC" w:rsidRPr="00336C11">
        <w:rPr>
          <w:sz w:val="22"/>
          <w:szCs w:val="22"/>
          <w:lang w:val="en-GB"/>
        </w:rPr>
        <w:t xml:space="preserve">the gains from trade </w:t>
      </w:r>
      <w:r w:rsidR="00486EA4" w:rsidRPr="00336C11">
        <w:rPr>
          <w:sz w:val="22"/>
          <w:szCs w:val="22"/>
          <w:lang w:val="en-GB"/>
        </w:rPr>
        <w:t xml:space="preserve">are potentially </w:t>
      </w:r>
      <w:r w:rsidR="00E514CC" w:rsidRPr="00336C11">
        <w:rPr>
          <w:sz w:val="22"/>
          <w:szCs w:val="22"/>
          <w:lang w:val="en-GB"/>
        </w:rPr>
        <w:t>large</w:t>
      </w:r>
      <w:r w:rsidR="00D73D56" w:rsidRPr="00336C11">
        <w:rPr>
          <w:sz w:val="22"/>
          <w:szCs w:val="22"/>
          <w:lang w:val="en-GB"/>
        </w:rPr>
        <w:t>,</w:t>
      </w:r>
      <w:r w:rsidR="00486EA4" w:rsidRPr="00336C11">
        <w:rPr>
          <w:sz w:val="22"/>
          <w:szCs w:val="22"/>
          <w:lang w:val="en-GB"/>
        </w:rPr>
        <w:t xml:space="preserve"> </w:t>
      </w:r>
      <w:r w:rsidR="00D73D56" w:rsidRPr="00336C11">
        <w:rPr>
          <w:sz w:val="22"/>
          <w:szCs w:val="22"/>
          <w:lang w:val="en-GB"/>
        </w:rPr>
        <w:t xml:space="preserve">as </w:t>
      </w:r>
      <w:r w:rsidR="00486EA4" w:rsidRPr="00336C11">
        <w:rPr>
          <w:sz w:val="22"/>
          <w:szCs w:val="22"/>
          <w:lang w:val="en-GB"/>
        </w:rPr>
        <w:t xml:space="preserve">they range </w:t>
      </w:r>
      <w:r w:rsidR="004051C6" w:rsidRPr="00336C11">
        <w:rPr>
          <w:sz w:val="22"/>
          <w:szCs w:val="22"/>
          <w:lang w:val="en-GB"/>
        </w:rPr>
        <w:t xml:space="preserve">from OP+X to </w:t>
      </w:r>
      <w:r w:rsidR="009C069C">
        <w:rPr>
          <w:sz w:val="22"/>
          <w:szCs w:val="22"/>
          <w:lang w:val="en-GB"/>
        </w:rPr>
        <w:t>(PDFV-DFV/2)-X</w:t>
      </w:r>
      <w:r w:rsidR="00486EA4" w:rsidRPr="00336C11">
        <w:rPr>
          <w:sz w:val="22"/>
          <w:szCs w:val="22"/>
          <w:lang w:val="en-GB"/>
        </w:rPr>
        <w:t xml:space="preserve">. </w:t>
      </w:r>
      <w:r w:rsidR="007915CD">
        <w:rPr>
          <w:sz w:val="22"/>
          <w:szCs w:val="22"/>
          <w:lang w:val="en-GB"/>
        </w:rPr>
        <w:t>T</w:t>
      </w:r>
      <w:r w:rsidR="00486EA4" w:rsidRPr="00336C11">
        <w:rPr>
          <w:sz w:val="22"/>
          <w:szCs w:val="22"/>
          <w:lang w:val="en-GB"/>
        </w:rPr>
        <w:t xml:space="preserve">he </w:t>
      </w:r>
      <w:r w:rsidR="004051C6" w:rsidRPr="00336C11">
        <w:rPr>
          <w:sz w:val="22"/>
          <w:szCs w:val="22"/>
          <w:lang w:val="en-GB"/>
        </w:rPr>
        <w:t xml:space="preserve">spectrum </w:t>
      </w:r>
      <w:r w:rsidR="00E514CC" w:rsidRPr="00336C11">
        <w:rPr>
          <w:sz w:val="22"/>
          <w:szCs w:val="22"/>
          <w:lang w:val="en-GB"/>
        </w:rPr>
        <w:t xml:space="preserve">of potential bargaining outcomes </w:t>
      </w:r>
      <w:r w:rsidR="004A1C07" w:rsidRPr="00336C11">
        <w:rPr>
          <w:sz w:val="22"/>
          <w:szCs w:val="22"/>
          <w:lang w:val="en-GB"/>
        </w:rPr>
        <w:t xml:space="preserve">does </w:t>
      </w:r>
      <w:r w:rsidR="00486EA4" w:rsidRPr="00336C11">
        <w:rPr>
          <w:sz w:val="22"/>
          <w:szCs w:val="22"/>
          <w:lang w:val="en-GB"/>
        </w:rPr>
        <w:t xml:space="preserve">accordingly </w:t>
      </w:r>
      <w:r w:rsidR="006D5DCC" w:rsidRPr="00336C11">
        <w:rPr>
          <w:sz w:val="22"/>
          <w:szCs w:val="22"/>
          <w:lang w:val="en-GB"/>
        </w:rPr>
        <w:t>exhibit</w:t>
      </w:r>
      <w:r w:rsidR="004A1C07" w:rsidRPr="00336C11">
        <w:rPr>
          <w:sz w:val="22"/>
          <w:szCs w:val="22"/>
          <w:lang w:val="en-GB"/>
        </w:rPr>
        <w:t>s</w:t>
      </w:r>
      <w:r w:rsidR="006D5DCC" w:rsidRPr="00336C11">
        <w:rPr>
          <w:sz w:val="22"/>
          <w:szCs w:val="22"/>
          <w:lang w:val="en-GB"/>
        </w:rPr>
        <w:t xml:space="preserve"> a </w:t>
      </w:r>
      <w:r w:rsidR="0009156B" w:rsidRPr="00336C11">
        <w:rPr>
          <w:sz w:val="22"/>
          <w:szCs w:val="22"/>
          <w:lang w:val="en-GB"/>
        </w:rPr>
        <w:t xml:space="preserve">potentially </w:t>
      </w:r>
      <w:r w:rsidR="006D5DCC" w:rsidRPr="00336C11">
        <w:rPr>
          <w:sz w:val="22"/>
          <w:szCs w:val="22"/>
          <w:lang w:val="en-GB"/>
        </w:rPr>
        <w:t>significant level of dispersion</w:t>
      </w:r>
      <w:r w:rsidR="00E514CC" w:rsidRPr="00E75AD6">
        <w:rPr>
          <w:sz w:val="22"/>
          <w:szCs w:val="22"/>
          <w:lang w:val="en-GB"/>
        </w:rPr>
        <w:t>.</w:t>
      </w:r>
      <w:r w:rsidR="006D65D7" w:rsidRPr="00E75AD6">
        <w:rPr>
          <w:rStyle w:val="FootnoteReference"/>
          <w:rFonts w:ascii="Times New Roman" w:hAnsi="Times New Roman"/>
          <w:sz w:val="22"/>
          <w:szCs w:val="22"/>
          <w:lang w:val="en-GB"/>
        </w:rPr>
        <w:footnoteReference w:id="52"/>
      </w:r>
      <w:r w:rsidR="006D65D7" w:rsidRPr="00E75AD6">
        <w:rPr>
          <w:sz w:val="22"/>
          <w:szCs w:val="22"/>
          <w:lang w:val="en-GB"/>
        </w:rPr>
        <w:t xml:space="preserve"> </w:t>
      </w:r>
      <w:r w:rsidR="00455547">
        <w:rPr>
          <w:sz w:val="22"/>
          <w:szCs w:val="22"/>
          <w:lang w:val="en-GB"/>
        </w:rPr>
        <w:t>As e</w:t>
      </w:r>
      <w:r w:rsidR="007915CD">
        <w:rPr>
          <w:sz w:val="22"/>
          <w:szCs w:val="22"/>
          <w:lang w:val="en-GB"/>
        </w:rPr>
        <w:t xml:space="preserve">ither </w:t>
      </w:r>
      <w:r w:rsidR="007915CD">
        <w:rPr>
          <w:sz w:val="22"/>
          <w:szCs w:val="22"/>
          <w:lang w:val="en-GB"/>
        </w:rPr>
        <w:lastRenderedPageBreak/>
        <w:t xml:space="preserve">deadlocked shareholder can </w:t>
      </w:r>
      <w:r w:rsidR="007915CD" w:rsidRPr="00D0186B">
        <w:rPr>
          <w:sz w:val="22"/>
          <w:szCs w:val="22"/>
          <w:lang w:val="en-US"/>
        </w:rPr>
        <w:t>strategically</w:t>
      </w:r>
      <w:r w:rsidR="007915CD">
        <w:rPr>
          <w:sz w:val="22"/>
          <w:szCs w:val="22"/>
          <w:lang w:val="en-US"/>
        </w:rPr>
        <w:t xml:space="preserve"> threaten the other deadlocked shareholder to remain with the </w:t>
      </w:r>
      <w:r w:rsidR="007915CD" w:rsidRPr="00503A2D">
        <w:rPr>
          <w:i/>
          <w:sz w:val="22"/>
          <w:szCs w:val="22"/>
          <w:lang w:val="en-US"/>
        </w:rPr>
        <w:t>status quo</w:t>
      </w:r>
      <w:r w:rsidR="007915CD">
        <w:rPr>
          <w:sz w:val="22"/>
          <w:szCs w:val="22"/>
          <w:lang w:val="en-US"/>
        </w:rPr>
        <w:t xml:space="preserve"> in order to try</w:t>
      </w:r>
      <w:r w:rsidR="007915CD" w:rsidRPr="00D0186B">
        <w:rPr>
          <w:sz w:val="22"/>
          <w:szCs w:val="22"/>
          <w:lang w:val="en-US"/>
        </w:rPr>
        <w:t xml:space="preserve"> to extract rents</w:t>
      </w:r>
      <w:r w:rsidR="00455547">
        <w:rPr>
          <w:sz w:val="22"/>
          <w:szCs w:val="22"/>
          <w:lang w:val="en-US"/>
        </w:rPr>
        <w:t>,</w:t>
      </w:r>
      <w:r w:rsidR="007915CD" w:rsidRPr="00D0186B">
        <w:rPr>
          <w:rStyle w:val="FootnoteReference"/>
          <w:rFonts w:ascii="Times New Roman" w:hAnsi="Times New Roman"/>
          <w:sz w:val="22"/>
          <w:szCs w:val="22"/>
          <w:lang w:val="en-GB"/>
        </w:rPr>
        <w:footnoteReference w:id="53"/>
      </w:r>
      <w:r w:rsidR="007915CD">
        <w:rPr>
          <w:sz w:val="22"/>
          <w:szCs w:val="22"/>
          <w:lang w:val="en-US"/>
        </w:rPr>
        <w:t xml:space="preserve"> low-ball offers become attractive</w:t>
      </w:r>
      <w:r w:rsidR="00455547">
        <w:rPr>
          <w:sz w:val="22"/>
          <w:szCs w:val="22"/>
          <w:lang w:val="en-US"/>
        </w:rPr>
        <w:t>. T</w:t>
      </w:r>
      <w:r w:rsidR="007915CD">
        <w:rPr>
          <w:sz w:val="22"/>
          <w:szCs w:val="22"/>
          <w:lang w:val="en-GB"/>
        </w:rPr>
        <w:t xml:space="preserve">he </w:t>
      </w:r>
      <w:r w:rsidR="00E76BB2">
        <w:rPr>
          <w:sz w:val="22"/>
          <w:szCs w:val="22"/>
          <w:lang w:val="en-GB"/>
        </w:rPr>
        <w:t>deadlocked shareholder</w:t>
      </w:r>
      <w:r w:rsidR="00186F1E">
        <w:rPr>
          <w:sz w:val="22"/>
          <w:szCs w:val="22"/>
          <w:lang w:val="en-GB"/>
        </w:rPr>
        <w:t xml:space="preserve">s could </w:t>
      </w:r>
      <w:r w:rsidR="00455547">
        <w:rPr>
          <w:sz w:val="22"/>
          <w:szCs w:val="22"/>
          <w:lang w:val="en-GB"/>
        </w:rPr>
        <w:t xml:space="preserve">therefore </w:t>
      </w:r>
      <w:r w:rsidR="00186F1E">
        <w:rPr>
          <w:sz w:val="22"/>
          <w:szCs w:val="22"/>
          <w:lang w:val="en-GB"/>
        </w:rPr>
        <w:t>well happen to</w:t>
      </w:r>
      <w:r w:rsidR="00E76BB2">
        <w:rPr>
          <w:sz w:val="22"/>
          <w:szCs w:val="22"/>
          <w:lang w:val="en-GB"/>
        </w:rPr>
        <w:t xml:space="preserve"> agree upon a </w:t>
      </w:r>
      <w:r w:rsidR="00905D57" w:rsidRPr="00336C11">
        <w:rPr>
          <w:sz w:val="22"/>
          <w:szCs w:val="22"/>
          <w:lang w:val="en-GB"/>
        </w:rPr>
        <w:t xml:space="preserve">buyout </w:t>
      </w:r>
      <w:r w:rsidR="00905D57">
        <w:rPr>
          <w:sz w:val="22"/>
          <w:szCs w:val="22"/>
          <w:lang w:val="en-GB"/>
        </w:rPr>
        <w:t xml:space="preserve">price </w:t>
      </w:r>
      <w:r w:rsidR="00E76BB2">
        <w:rPr>
          <w:sz w:val="22"/>
          <w:szCs w:val="22"/>
          <w:lang w:val="en-GB"/>
        </w:rPr>
        <w:t xml:space="preserve">that </w:t>
      </w:r>
      <w:r w:rsidR="00905D57" w:rsidRPr="00E75AD6">
        <w:rPr>
          <w:sz w:val="22"/>
          <w:szCs w:val="22"/>
          <w:lang w:val="en-GB"/>
        </w:rPr>
        <w:t>could</w:t>
      </w:r>
      <w:r w:rsidR="00905D57" w:rsidRPr="00336C11">
        <w:rPr>
          <w:sz w:val="22"/>
          <w:szCs w:val="22"/>
          <w:lang w:val="en-GB"/>
        </w:rPr>
        <w:t xml:space="preserve"> sit on any point of the ZoPA</w:t>
      </w:r>
      <w:r w:rsidR="00455547">
        <w:rPr>
          <w:sz w:val="22"/>
          <w:szCs w:val="22"/>
          <w:lang w:val="en-GB"/>
        </w:rPr>
        <w:t xml:space="preserve"> – thus ranging between PDF/2+X and (PDFV-DFV/2)-</w:t>
      </w:r>
      <w:r w:rsidR="00455547" w:rsidRPr="00336C11">
        <w:rPr>
          <w:sz w:val="22"/>
          <w:szCs w:val="22"/>
          <w:lang w:val="en-GB"/>
        </w:rPr>
        <w:t>X</w:t>
      </w:r>
      <w:r w:rsidR="00455547">
        <w:rPr>
          <w:sz w:val="22"/>
          <w:szCs w:val="22"/>
          <w:lang w:val="en-GB"/>
        </w:rPr>
        <w:t xml:space="preserve">. </w:t>
      </w:r>
      <w:r w:rsidR="00981D79">
        <w:rPr>
          <w:sz w:val="22"/>
          <w:szCs w:val="22"/>
          <w:lang w:val="en-GB"/>
        </w:rPr>
        <w:t>In any event, t</w:t>
      </w:r>
      <w:r w:rsidR="00455547">
        <w:rPr>
          <w:sz w:val="22"/>
          <w:szCs w:val="22"/>
          <w:lang w:val="en-GB"/>
        </w:rPr>
        <w:t xml:space="preserve">he ultimate result would be </w:t>
      </w:r>
      <w:r w:rsidR="00E11169">
        <w:rPr>
          <w:sz w:val="22"/>
          <w:szCs w:val="22"/>
          <w:lang w:val="en-GB"/>
        </w:rPr>
        <w:t xml:space="preserve">an allocation of post-deadlock firm value that is more or less significantly inconsistent with </w:t>
      </w:r>
      <w:r w:rsidR="007915CD" w:rsidRPr="007915CD">
        <w:rPr>
          <w:i/>
          <w:sz w:val="22"/>
          <w:szCs w:val="22"/>
          <w:lang w:val="en-GB"/>
        </w:rPr>
        <w:t>ex</w:t>
      </w:r>
      <w:r w:rsidR="007915CD">
        <w:rPr>
          <w:i/>
          <w:sz w:val="22"/>
          <w:szCs w:val="22"/>
          <w:lang w:val="en-GB"/>
        </w:rPr>
        <w:t>-</w:t>
      </w:r>
      <w:r w:rsidR="007915CD" w:rsidRPr="007915CD">
        <w:rPr>
          <w:i/>
          <w:sz w:val="22"/>
          <w:szCs w:val="22"/>
          <w:lang w:val="en-GB"/>
        </w:rPr>
        <w:t>ante</w:t>
      </w:r>
      <w:r w:rsidR="007915CD">
        <w:rPr>
          <w:sz w:val="22"/>
          <w:szCs w:val="22"/>
          <w:lang w:val="en-GB"/>
        </w:rPr>
        <w:t xml:space="preserve"> </w:t>
      </w:r>
      <w:r w:rsidR="00E11169">
        <w:rPr>
          <w:sz w:val="22"/>
          <w:szCs w:val="22"/>
          <w:lang w:val="en-GB"/>
        </w:rPr>
        <w:t>arrangements as to value distribution</w:t>
      </w:r>
      <w:r w:rsidR="007B0078">
        <w:rPr>
          <w:sz w:val="22"/>
          <w:szCs w:val="22"/>
          <w:lang w:val="en-GB"/>
        </w:rPr>
        <w:t xml:space="preserve">. </w:t>
      </w:r>
    </w:p>
    <w:p w14:paraId="2E9AE3C6" w14:textId="165B3481" w:rsidR="00F42EB1" w:rsidRPr="00336C11" w:rsidRDefault="00056DD5" w:rsidP="00C12B86">
      <w:pPr>
        <w:spacing w:before="240" w:after="240"/>
        <w:ind w:left="567" w:right="567"/>
        <w:jc w:val="both"/>
        <w:rPr>
          <w:sz w:val="20"/>
          <w:szCs w:val="22"/>
          <w:lang w:val="en-GB"/>
        </w:rPr>
      </w:pPr>
      <w:r w:rsidRPr="00336C11">
        <w:rPr>
          <w:b/>
          <w:i/>
          <w:sz w:val="20"/>
          <w:szCs w:val="22"/>
          <w:lang w:val="en-GB"/>
        </w:rPr>
        <w:t>Example</w:t>
      </w:r>
      <w:r w:rsidRPr="00336C11">
        <w:rPr>
          <w:sz w:val="20"/>
          <w:szCs w:val="22"/>
          <w:lang w:val="en-GB"/>
        </w:rPr>
        <w:t xml:space="preserve">: </w:t>
      </w:r>
      <w:r w:rsidR="00C81505" w:rsidRPr="00336C11">
        <w:rPr>
          <w:sz w:val="20"/>
          <w:szCs w:val="22"/>
          <w:lang w:val="en-GB"/>
        </w:rPr>
        <w:t xml:space="preserve">Alfa </w:t>
      </w:r>
      <w:r w:rsidR="00FC7282" w:rsidRPr="00336C11">
        <w:rPr>
          <w:sz w:val="20"/>
          <w:szCs w:val="22"/>
          <w:lang w:val="en-GB"/>
        </w:rPr>
        <w:t xml:space="preserve">is a deadlocked firm with </w:t>
      </w:r>
      <w:r w:rsidR="006827C9" w:rsidRPr="00336C11">
        <w:rPr>
          <w:sz w:val="20"/>
          <w:szCs w:val="22"/>
          <w:lang w:val="en-GB"/>
        </w:rPr>
        <w:t xml:space="preserve">two shareholders </w:t>
      </w:r>
      <w:r w:rsidR="00C81505" w:rsidRPr="00336C11">
        <w:rPr>
          <w:sz w:val="20"/>
          <w:szCs w:val="22"/>
          <w:lang w:val="en-GB"/>
        </w:rPr>
        <w:t>A and B</w:t>
      </w:r>
      <w:r w:rsidR="000C5534" w:rsidRPr="00336C11">
        <w:rPr>
          <w:sz w:val="20"/>
          <w:szCs w:val="22"/>
          <w:lang w:val="en-GB"/>
        </w:rPr>
        <w:t xml:space="preserve">, who </w:t>
      </w:r>
      <w:r w:rsidR="00656085" w:rsidRPr="00336C11">
        <w:rPr>
          <w:sz w:val="20"/>
          <w:szCs w:val="22"/>
          <w:lang w:val="en-GB"/>
        </w:rPr>
        <w:t xml:space="preserve">are </w:t>
      </w:r>
      <w:r w:rsidR="009B7FC1" w:rsidRPr="00336C11">
        <w:rPr>
          <w:sz w:val="20"/>
          <w:szCs w:val="22"/>
          <w:lang w:val="en-GB"/>
        </w:rPr>
        <w:t>negotiat</w:t>
      </w:r>
      <w:r w:rsidR="00656085" w:rsidRPr="00336C11">
        <w:rPr>
          <w:sz w:val="20"/>
          <w:szCs w:val="22"/>
          <w:lang w:val="en-GB"/>
        </w:rPr>
        <w:t>ing under perfect bilateral symmetry</w:t>
      </w:r>
      <w:r w:rsidR="009B7FC1" w:rsidRPr="00336C11">
        <w:rPr>
          <w:sz w:val="20"/>
          <w:szCs w:val="22"/>
          <w:lang w:val="en-GB"/>
        </w:rPr>
        <w:t xml:space="preserve"> </w:t>
      </w:r>
      <w:r w:rsidR="00F15B97" w:rsidRPr="00336C11">
        <w:rPr>
          <w:iCs/>
          <w:sz w:val="20"/>
          <w:szCs w:val="22"/>
          <w:lang w:val="en-GB"/>
        </w:rPr>
        <w:t xml:space="preserve">the </w:t>
      </w:r>
      <w:r w:rsidR="00F15B97" w:rsidRPr="00336C11">
        <w:rPr>
          <w:sz w:val="20"/>
          <w:szCs w:val="22"/>
          <w:lang w:val="en-GB"/>
        </w:rPr>
        <w:t xml:space="preserve">terms of a </w:t>
      </w:r>
      <w:r w:rsidR="009B7FC1" w:rsidRPr="00336C11">
        <w:rPr>
          <w:sz w:val="20"/>
          <w:szCs w:val="22"/>
          <w:lang w:val="en-GB"/>
        </w:rPr>
        <w:t>buyout</w:t>
      </w:r>
      <w:r w:rsidR="00BF7D12" w:rsidRPr="00336C11">
        <w:rPr>
          <w:sz w:val="20"/>
          <w:szCs w:val="22"/>
          <w:lang w:val="en-GB"/>
        </w:rPr>
        <w:t xml:space="preserve">. </w:t>
      </w:r>
      <w:r w:rsidR="006D5DCC" w:rsidRPr="00336C11">
        <w:rPr>
          <w:sz w:val="20"/>
          <w:szCs w:val="22"/>
          <w:lang w:val="en-GB"/>
        </w:rPr>
        <w:t xml:space="preserve">DFV </w:t>
      </w:r>
      <w:r w:rsidR="00330957" w:rsidRPr="00336C11">
        <w:rPr>
          <w:sz w:val="20"/>
          <w:szCs w:val="22"/>
          <w:lang w:val="en-GB"/>
        </w:rPr>
        <w:t xml:space="preserve">and PDFV </w:t>
      </w:r>
      <w:r w:rsidR="00D11EFA" w:rsidRPr="00336C11">
        <w:rPr>
          <w:sz w:val="20"/>
          <w:szCs w:val="22"/>
          <w:lang w:val="en-GB"/>
        </w:rPr>
        <w:t xml:space="preserve">stand at </w:t>
      </w:r>
      <w:r w:rsidR="006B395C" w:rsidRPr="00336C11">
        <w:rPr>
          <w:sz w:val="20"/>
          <w:szCs w:val="22"/>
          <w:lang w:val="en-GB"/>
        </w:rPr>
        <w:t>400</w:t>
      </w:r>
      <w:r w:rsidR="00330957" w:rsidRPr="00336C11">
        <w:rPr>
          <w:sz w:val="20"/>
          <w:szCs w:val="22"/>
          <w:lang w:val="en-GB"/>
        </w:rPr>
        <w:t xml:space="preserve"> and 500 respectively, with </w:t>
      </w:r>
      <w:r w:rsidR="00A92C23" w:rsidRPr="00336C11">
        <w:rPr>
          <w:sz w:val="20"/>
          <w:szCs w:val="22"/>
          <w:lang w:val="en-GB"/>
        </w:rPr>
        <w:t xml:space="preserve">the value of </w:t>
      </w:r>
      <w:r w:rsidR="00BF7D12" w:rsidRPr="00336C11">
        <w:rPr>
          <w:sz w:val="20"/>
          <w:szCs w:val="22"/>
          <w:lang w:val="en-GB"/>
        </w:rPr>
        <w:t xml:space="preserve">each </w:t>
      </w:r>
      <w:r w:rsidR="006B395C" w:rsidRPr="00336C11">
        <w:rPr>
          <w:sz w:val="20"/>
          <w:szCs w:val="22"/>
          <w:lang w:val="en-GB"/>
        </w:rPr>
        <w:t xml:space="preserve">shareholding </w:t>
      </w:r>
      <w:r w:rsidR="00330957" w:rsidRPr="00336C11">
        <w:rPr>
          <w:sz w:val="20"/>
          <w:szCs w:val="22"/>
          <w:lang w:val="en-GB"/>
        </w:rPr>
        <w:t xml:space="preserve">correspondingly </w:t>
      </w:r>
      <w:r w:rsidR="00A92C23" w:rsidRPr="00336C11">
        <w:rPr>
          <w:sz w:val="20"/>
          <w:szCs w:val="22"/>
          <w:lang w:val="en-GB"/>
        </w:rPr>
        <w:t xml:space="preserve">standing at </w:t>
      </w:r>
      <w:r w:rsidR="000C5534" w:rsidRPr="00336C11">
        <w:rPr>
          <w:sz w:val="20"/>
          <w:szCs w:val="22"/>
          <w:lang w:val="en-GB"/>
        </w:rPr>
        <w:t>400/2=</w:t>
      </w:r>
      <w:r w:rsidR="007A567C" w:rsidRPr="00336C11">
        <w:rPr>
          <w:sz w:val="20"/>
          <w:szCs w:val="22"/>
          <w:lang w:val="en-GB"/>
        </w:rPr>
        <w:t xml:space="preserve">200 </w:t>
      </w:r>
      <w:r w:rsidR="009C069C">
        <w:rPr>
          <w:sz w:val="20"/>
          <w:szCs w:val="22"/>
          <w:lang w:val="en-GB"/>
        </w:rPr>
        <w:t xml:space="preserve">under the current impasse </w:t>
      </w:r>
      <w:r w:rsidR="00330957" w:rsidRPr="00336C11">
        <w:rPr>
          <w:sz w:val="20"/>
          <w:szCs w:val="22"/>
          <w:lang w:val="en-GB"/>
        </w:rPr>
        <w:t xml:space="preserve">and </w:t>
      </w:r>
      <w:r w:rsidR="000C5534" w:rsidRPr="00336C11">
        <w:rPr>
          <w:sz w:val="20"/>
          <w:szCs w:val="22"/>
          <w:lang w:val="en-GB"/>
        </w:rPr>
        <w:t>500/2=</w:t>
      </w:r>
      <w:r w:rsidR="00F42EB1" w:rsidRPr="00336C11">
        <w:rPr>
          <w:sz w:val="20"/>
          <w:szCs w:val="22"/>
          <w:lang w:val="en-GB"/>
        </w:rPr>
        <w:t>250</w:t>
      </w:r>
      <w:r w:rsidR="009C069C">
        <w:rPr>
          <w:sz w:val="20"/>
          <w:szCs w:val="22"/>
          <w:lang w:val="en-GB"/>
        </w:rPr>
        <w:t xml:space="preserve"> in a post-deadlock scenario</w:t>
      </w:r>
      <w:r w:rsidR="00BF7D12" w:rsidRPr="00336C11">
        <w:rPr>
          <w:sz w:val="20"/>
          <w:szCs w:val="22"/>
          <w:lang w:val="en-GB"/>
        </w:rPr>
        <w:t xml:space="preserve">. </w:t>
      </w:r>
      <w:r w:rsidR="009C069C">
        <w:rPr>
          <w:sz w:val="20"/>
          <w:szCs w:val="22"/>
          <w:lang w:val="en-GB"/>
        </w:rPr>
        <w:t>T</w:t>
      </w:r>
      <w:r w:rsidR="000C5534" w:rsidRPr="00336C11">
        <w:rPr>
          <w:sz w:val="20"/>
          <w:szCs w:val="22"/>
          <w:lang w:val="en-GB"/>
        </w:rPr>
        <w:t>he lowest price</w:t>
      </w:r>
      <w:r w:rsidR="007E5C23">
        <w:rPr>
          <w:sz w:val="20"/>
          <w:szCs w:val="22"/>
          <w:lang w:val="en-GB"/>
        </w:rPr>
        <w:t>s</w:t>
      </w:r>
      <w:r w:rsidR="000C5534" w:rsidRPr="00336C11">
        <w:rPr>
          <w:sz w:val="20"/>
          <w:szCs w:val="22"/>
          <w:lang w:val="en-GB"/>
        </w:rPr>
        <w:t xml:space="preserve"> at which </w:t>
      </w:r>
      <w:r w:rsidR="007E5C23">
        <w:rPr>
          <w:sz w:val="20"/>
          <w:szCs w:val="22"/>
          <w:lang w:val="en-GB"/>
        </w:rPr>
        <w:t xml:space="preserve">the </w:t>
      </w:r>
      <w:r w:rsidR="000C5534" w:rsidRPr="00336C11">
        <w:rPr>
          <w:sz w:val="20"/>
          <w:szCs w:val="22"/>
          <w:lang w:val="en-GB"/>
        </w:rPr>
        <w:t xml:space="preserve">deadlocked shareholder would sell </w:t>
      </w:r>
      <w:r w:rsidR="007E5C23">
        <w:rPr>
          <w:sz w:val="20"/>
          <w:szCs w:val="22"/>
          <w:lang w:val="en-GB"/>
        </w:rPr>
        <w:t xml:space="preserve">their shareholdings are </w:t>
      </w:r>
      <w:r w:rsidR="000C5534" w:rsidRPr="00336C11">
        <w:rPr>
          <w:sz w:val="20"/>
          <w:szCs w:val="22"/>
          <w:lang w:val="en-GB"/>
        </w:rPr>
        <w:t>such that (</w:t>
      </w:r>
      <w:r w:rsidR="00F249F2" w:rsidRPr="00336C11">
        <w:rPr>
          <w:sz w:val="20"/>
          <w:szCs w:val="22"/>
          <w:lang w:val="en-GB"/>
        </w:rPr>
        <w:t>400</w:t>
      </w:r>
      <w:r w:rsidR="000C5534" w:rsidRPr="00336C11">
        <w:rPr>
          <w:sz w:val="20"/>
          <w:szCs w:val="22"/>
          <w:lang w:val="en-GB"/>
        </w:rPr>
        <w:t>/2)</w:t>
      </w:r>
      <w:r w:rsidR="00F15B97" w:rsidRPr="00336C11">
        <w:rPr>
          <w:sz w:val="20"/>
          <w:szCs w:val="22"/>
          <w:lang w:val="en-GB"/>
        </w:rPr>
        <w:t>+.1</w:t>
      </w:r>
      <w:r w:rsidR="00F249F2" w:rsidRPr="00336C11">
        <w:rPr>
          <w:sz w:val="20"/>
          <w:szCs w:val="22"/>
          <w:lang w:val="en-GB"/>
        </w:rPr>
        <w:t>=200</w:t>
      </w:r>
      <w:r w:rsidR="00F15B97" w:rsidRPr="00336C11">
        <w:rPr>
          <w:sz w:val="20"/>
          <w:szCs w:val="22"/>
          <w:lang w:val="en-GB"/>
        </w:rPr>
        <w:t>.1</w:t>
      </w:r>
      <w:r w:rsidR="00C12B86" w:rsidRPr="00336C11">
        <w:rPr>
          <w:sz w:val="20"/>
          <w:szCs w:val="22"/>
          <w:lang w:val="en-GB"/>
        </w:rPr>
        <w:t xml:space="preserve">. </w:t>
      </w:r>
      <w:r w:rsidR="009C069C">
        <w:rPr>
          <w:sz w:val="22"/>
          <w:szCs w:val="22"/>
          <w:lang w:val="en-GB"/>
        </w:rPr>
        <w:t xml:space="preserve">The </w:t>
      </w:r>
      <w:r w:rsidR="004E3AAD" w:rsidRPr="00336C11">
        <w:rPr>
          <w:sz w:val="20"/>
          <w:szCs w:val="22"/>
          <w:lang w:val="en-GB"/>
        </w:rPr>
        <w:t>highest price</w:t>
      </w:r>
      <w:r w:rsidR="009C069C">
        <w:rPr>
          <w:sz w:val="20"/>
          <w:szCs w:val="22"/>
          <w:lang w:val="en-GB"/>
        </w:rPr>
        <w:t>s</w:t>
      </w:r>
      <w:r w:rsidR="004E3AAD" w:rsidRPr="00336C11">
        <w:rPr>
          <w:sz w:val="20"/>
          <w:szCs w:val="22"/>
          <w:lang w:val="en-GB"/>
        </w:rPr>
        <w:t xml:space="preserve"> that </w:t>
      </w:r>
      <w:r w:rsidR="00330957" w:rsidRPr="00336C11">
        <w:rPr>
          <w:sz w:val="20"/>
          <w:szCs w:val="22"/>
          <w:lang w:val="en-GB"/>
        </w:rPr>
        <w:t xml:space="preserve">either </w:t>
      </w:r>
      <w:r w:rsidR="004E3AAD" w:rsidRPr="00336C11">
        <w:rPr>
          <w:sz w:val="20"/>
          <w:szCs w:val="22"/>
          <w:lang w:val="en-GB"/>
        </w:rPr>
        <w:t>shareholder would pay to secure full control of the deadlocked firm</w:t>
      </w:r>
      <w:r w:rsidR="00330957" w:rsidRPr="00336C11">
        <w:rPr>
          <w:sz w:val="20"/>
          <w:szCs w:val="22"/>
          <w:lang w:val="en-GB"/>
        </w:rPr>
        <w:t xml:space="preserve"> </w:t>
      </w:r>
      <w:r w:rsidR="009C069C">
        <w:rPr>
          <w:sz w:val="20"/>
          <w:szCs w:val="22"/>
          <w:lang w:val="en-GB"/>
        </w:rPr>
        <w:t xml:space="preserve">are </w:t>
      </w:r>
      <w:r w:rsidR="00016D7B">
        <w:rPr>
          <w:sz w:val="20"/>
          <w:szCs w:val="22"/>
          <w:lang w:val="en-GB"/>
        </w:rPr>
        <w:t>(</w:t>
      </w:r>
      <w:r w:rsidR="00330957" w:rsidRPr="00336C11">
        <w:rPr>
          <w:sz w:val="20"/>
          <w:szCs w:val="22"/>
          <w:lang w:val="en-GB"/>
        </w:rPr>
        <w:t>500-400/2</w:t>
      </w:r>
      <w:r w:rsidR="00F15B97" w:rsidRPr="00336C11">
        <w:rPr>
          <w:sz w:val="20"/>
          <w:szCs w:val="22"/>
          <w:lang w:val="en-GB"/>
        </w:rPr>
        <w:t>)-.1</w:t>
      </w:r>
      <w:r w:rsidR="001F4067" w:rsidRPr="00336C11">
        <w:rPr>
          <w:sz w:val="20"/>
          <w:szCs w:val="22"/>
          <w:lang w:val="en-GB"/>
        </w:rPr>
        <w:t>=</w:t>
      </w:r>
      <w:r w:rsidR="00062D81" w:rsidRPr="00336C11">
        <w:rPr>
          <w:sz w:val="20"/>
          <w:szCs w:val="22"/>
          <w:lang w:val="en-GB"/>
        </w:rPr>
        <w:t>299.9</w:t>
      </w:r>
      <w:r w:rsidR="00330957" w:rsidRPr="00336C11">
        <w:rPr>
          <w:sz w:val="20"/>
          <w:szCs w:val="22"/>
          <w:lang w:val="en-GB"/>
        </w:rPr>
        <w:t>.</w:t>
      </w:r>
      <w:r w:rsidR="00F42EB1" w:rsidRPr="00336C11">
        <w:rPr>
          <w:sz w:val="20"/>
          <w:szCs w:val="22"/>
          <w:lang w:val="en-GB"/>
        </w:rPr>
        <w:t xml:space="preserve"> </w:t>
      </w:r>
      <w:r w:rsidR="00E359A8">
        <w:rPr>
          <w:sz w:val="20"/>
          <w:szCs w:val="22"/>
          <w:lang w:val="en-GB"/>
        </w:rPr>
        <w:t xml:space="preserve">By way of </w:t>
      </w:r>
      <w:r w:rsidR="001F4067" w:rsidRPr="00336C11">
        <w:rPr>
          <w:sz w:val="20"/>
          <w:szCs w:val="22"/>
          <w:lang w:val="en-GB"/>
        </w:rPr>
        <w:t xml:space="preserve">approximation, the </w:t>
      </w:r>
      <w:r w:rsidR="008435F6" w:rsidRPr="00336C11">
        <w:rPr>
          <w:sz w:val="20"/>
          <w:szCs w:val="22"/>
          <w:lang w:val="en-GB"/>
        </w:rPr>
        <w:t>ZoPA</w:t>
      </w:r>
      <w:r w:rsidR="000E5E41" w:rsidRPr="00336C11">
        <w:rPr>
          <w:sz w:val="20"/>
          <w:szCs w:val="22"/>
          <w:lang w:val="en-GB"/>
        </w:rPr>
        <w:t xml:space="preserve"> would then </w:t>
      </w:r>
      <w:r w:rsidR="00E42E09" w:rsidRPr="00336C11">
        <w:rPr>
          <w:sz w:val="20"/>
          <w:szCs w:val="22"/>
          <w:lang w:val="en-GB"/>
        </w:rPr>
        <w:t xml:space="preserve">range between 200.1 and </w:t>
      </w:r>
      <w:r w:rsidR="00330957" w:rsidRPr="00336C11">
        <w:rPr>
          <w:sz w:val="20"/>
          <w:szCs w:val="22"/>
          <w:lang w:val="en-GB"/>
        </w:rPr>
        <w:t>299</w:t>
      </w:r>
      <w:r w:rsidR="00E42E09" w:rsidRPr="00336C11">
        <w:rPr>
          <w:sz w:val="20"/>
          <w:szCs w:val="22"/>
          <w:lang w:val="en-GB"/>
        </w:rPr>
        <w:t>.</w:t>
      </w:r>
      <w:r w:rsidR="00330957" w:rsidRPr="00336C11">
        <w:rPr>
          <w:sz w:val="20"/>
          <w:szCs w:val="22"/>
          <w:lang w:val="en-GB"/>
        </w:rPr>
        <w:t>9</w:t>
      </w:r>
      <w:r w:rsidR="005E206D" w:rsidRPr="00336C11">
        <w:rPr>
          <w:sz w:val="20"/>
          <w:szCs w:val="22"/>
          <w:lang w:val="en-GB"/>
        </w:rPr>
        <w:t xml:space="preserve">. </w:t>
      </w:r>
      <w:r w:rsidR="001F4067" w:rsidRPr="00336C11">
        <w:rPr>
          <w:sz w:val="20"/>
          <w:szCs w:val="22"/>
          <w:lang w:val="en-GB"/>
        </w:rPr>
        <w:t>B</w:t>
      </w:r>
      <w:r w:rsidR="00F42EB1" w:rsidRPr="00336C11">
        <w:rPr>
          <w:sz w:val="20"/>
          <w:szCs w:val="22"/>
          <w:lang w:val="en-GB"/>
        </w:rPr>
        <w:t xml:space="preserve">uying or selling at </w:t>
      </w:r>
      <w:r w:rsidR="00C70E83" w:rsidRPr="00336C11">
        <w:rPr>
          <w:sz w:val="20"/>
          <w:szCs w:val="22"/>
          <w:lang w:val="en-GB"/>
        </w:rPr>
        <w:t xml:space="preserve">any price ranging between </w:t>
      </w:r>
      <w:r w:rsidR="00F42EB1" w:rsidRPr="00336C11">
        <w:rPr>
          <w:sz w:val="20"/>
          <w:szCs w:val="22"/>
          <w:lang w:val="en-GB"/>
        </w:rPr>
        <w:t>20</w:t>
      </w:r>
      <w:r w:rsidR="00E42E09" w:rsidRPr="00336C11">
        <w:rPr>
          <w:sz w:val="20"/>
          <w:szCs w:val="22"/>
          <w:lang w:val="en-GB"/>
        </w:rPr>
        <w:t>0.1</w:t>
      </w:r>
      <w:r w:rsidR="00F42EB1" w:rsidRPr="00336C11">
        <w:rPr>
          <w:sz w:val="20"/>
          <w:szCs w:val="22"/>
          <w:lang w:val="en-GB"/>
        </w:rPr>
        <w:t xml:space="preserve"> and 299</w:t>
      </w:r>
      <w:r w:rsidR="00E42E09" w:rsidRPr="00336C11">
        <w:rPr>
          <w:sz w:val="20"/>
          <w:szCs w:val="22"/>
          <w:lang w:val="en-GB"/>
        </w:rPr>
        <w:t>.9</w:t>
      </w:r>
      <w:r w:rsidR="00F42EB1" w:rsidRPr="00336C11">
        <w:rPr>
          <w:sz w:val="20"/>
          <w:szCs w:val="22"/>
          <w:lang w:val="en-GB"/>
        </w:rPr>
        <w:t xml:space="preserve"> </w:t>
      </w:r>
      <w:r w:rsidR="00C70E83" w:rsidRPr="00336C11">
        <w:rPr>
          <w:sz w:val="20"/>
          <w:szCs w:val="22"/>
          <w:lang w:val="en-GB"/>
        </w:rPr>
        <w:t xml:space="preserve">are </w:t>
      </w:r>
      <w:r w:rsidR="00F42EB1" w:rsidRPr="00336C11">
        <w:rPr>
          <w:sz w:val="20"/>
          <w:szCs w:val="22"/>
          <w:lang w:val="en-GB"/>
        </w:rPr>
        <w:t xml:space="preserve">solutions rationally preferable to the </w:t>
      </w:r>
      <w:r w:rsidR="00F42EB1" w:rsidRPr="00336C11">
        <w:rPr>
          <w:i/>
          <w:iCs/>
          <w:sz w:val="20"/>
          <w:szCs w:val="22"/>
          <w:lang w:val="en-GB"/>
        </w:rPr>
        <w:t>status quo</w:t>
      </w:r>
      <w:r w:rsidR="00C70E83" w:rsidRPr="00336C11">
        <w:rPr>
          <w:sz w:val="20"/>
          <w:szCs w:val="22"/>
          <w:lang w:val="en-GB"/>
        </w:rPr>
        <w:t>, in which the deadlocked shareholders have 200 each</w:t>
      </w:r>
      <w:r w:rsidR="00E42E09" w:rsidRPr="00336C11">
        <w:rPr>
          <w:sz w:val="20"/>
          <w:szCs w:val="22"/>
          <w:lang w:val="en-GB"/>
        </w:rPr>
        <w:t xml:space="preserve">. </w:t>
      </w:r>
      <w:r w:rsidR="009C069C">
        <w:rPr>
          <w:sz w:val="20"/>
          <w:szCs w:val="22"/>
          <w:lang w:val="en-GB"/>
        </w:rPr>
        <w:t>I</w:t>
      </w:r>
      <w:r w:rsidR="001F4067" w:rsidRPr="00336C11">
        <w:rPr>
          <w:sz w:val="20"/>
          <w:szCs w:val="22"/>
          <w:lang w:val="en-GB"/>
        </w:rPr>
        <w:t>f</w:t>
      </w:r>
      <w:r w:rsidR="00275299" w:rsidRPr="00336C11">
        <w:rPr>
          <w:sz w:val="20"/>
          <w:szCs w:val="22"/>
          <w:lang w:val="en-GB"/>
        </w:rPr>
        <w:t>, for instance,</w:t>
      </w:r>
      <w:r w:rsidR="001F4067" w:rsidRPr="00336C11">
        <w:rPr>
          <w:sz w:val="20"/>
          <w:szCs w:val="22"/>
          <w:lang w:val="en-GB"/>
        </w:rPr>
        <w:t xml:space="preserve"> </w:t>
      </w:r>
      <w:r w:rsidR="00F42EB1" w:rsidRPr="00336C11">
        <w:rPr>
          <w:sz w:val="20"/>
          <w:szCs w:val="22"/>
          <w:lang w:val="en-GB"/>
        </w:rPr>
        <w:t xml:space="preserve">A </w:t>
      </w:r>
      <w:r w:rsidR="00E42E09" w:rsidRPr="00336C11">
        <w:rPr>
          <w:sz w:val="20"/>
          <w:szCs w:val="22"/>
          <w:lang w:val="en-GB"/>
        </w:rPr>
        <w:t xml:space="preserve">were to </w:t>
      </w:r>
      <w:r w:rsidR="00F42EB1" w:rsidRPr="00336C11">
        <w:rPr>
          <w:sz w:val="20"/>
          <w:szCs w:val="22"/>
          <w:lang w:val="en-GB"/>
        </w:rPr>
        <w:t>buy B</w:t>
      </w:r>
      <w:r w:rsidR="00E42E09" w:rsidRPr="00336C11">
        <w:rPr>
          <w:sz w:val="20"/>
          <w:szCs w:val="22"/>
          <w:lang w:val="en-GB"/>
        </w:rPr>
        <w:t xml:space="preserve"> out </w:t>
      </w:r>
      <w:r w:rsidR="00F42EB1" w:rsidRPr="00336C11">
        <w:rPr>
          <w:sz w:val="20"/>
          <w:szCs w:val="22"/>
          <w:lang w:val="en-GB"/>
        </w:rPr>
        <w:t>at 2</w:t>
      </w:r>
      <w:r w:rsidR="00E42E09" w:rsidRPr="00336C11">
        <w:rPr>
          <w:sz w:val="20"/>
          <w:szCs w:val="22"/>
          <w:lang w:val="en-GB"/>
        </w:rPr>
        <w:t>0</w:t>
      </w:r>
      <w:r w:rsidR="00F42EB1" w:rsidRPr="00336C11">
        <w:rPr>
          <w:sz w:val="20"/>
          <w:szCs w:val="22"/>
          <w:lang w:val="en-GB"/>
        </w:rPr>
        <w:t>0</w:t>
      </w:r>
      <w:r w:rsidR="00E42E09" w:rsidRPr="00336C11">
        <w:rPr>
          <w:sz w:val="20"/>
          <w:szCs w:val="22"/>
          <w:lang w:val="en-GB"/>
        </w:rPr>
        <w:t>.</w:t>
      </w:r>
      <w:r w:rsidR="00F42EB1" w:rsidRPr="00336C11">
        <w:rPr>
          <w:sz w:val="20"/>
          <w:szCs w:val="22"/>
          <w:lang w:val="en-GB"/>
        </w:rPr>
        <w:t xml:space="preserve">1, both shareholders would </w:t>
      </w:r>
      <w:r w:rsidR="00E42E09" w:rsidRPr="00336C11">
        <w:rPr>
          <w:sz w:val="20"/>
          <w:szCs w:val="22"/>
          <w:lang w:val="en-GB"/>
        </w:rPr>
        <w:t xml:space="preserve">observe an increase in their respective payoffs </w:t>
      </w:r>
      <w:r w:rsidR="00F42EB1" w:rsidRPr="00336C11">
        <w:rPr>
          <w:sz w:val="20"/>
          <w:szCs w:val="22"/>
          <w:lang w:val="en-GB"/>
        </w:rPr>
        <w:t>equal to</w:t>
      </w:r>
      <w:r w:rsidR="00E42E09" w:rsidRPr="00336C11">
        <w:rPr>
          <w:sz w:val="20"/>
          <w:szCs w:val="22"/>
          <w:lang w:val="en-GB"/>
        </w:rPr>
        <w:t xml:space="preserve"> </w:t>
      </w:r>
      <w:r w:rsidR="00F42EB1" w:rsidRPr="00336C11">
        <w:rPr>
          <w:sz w:val="20"/>
          <w:szCs w:val="22"/>
          <w:lang w:val="en-GB"/>
        </w:rPr>
        <w:t>49</w:t>
      </w:r>
      <w:r w:rsidR="00E42E09" w:rsidRPr="00336C11">
        <w:rPr>
          <w:sz w:val="20"/>
          <w:szCs w:val="22"/>
          <w:lang w:val="en-GB"/>
        </w:rPr>
        <w:t>.9</w:t>
      </w:r>
      <w:r w:rsidR="00F42EB1" w:rsidRPr="00336C11">
        <w:rPr>
          <w:sz w:val="20"/>
          <w:szCs w:val="22"/>
          <w:lang w:val="en-GB"/>
        </w:rPr>
        <w:t xml:space="preserve"> (49</w:t>
      </w:r>
      <w:r w:rsidR="00E42E09" w:rsidRPr="00336C11">
        <w:rPr>
          <w:sz w:val="20"/>
          <w:szCs w:val="22"/>
          <w:lang w:val="en-GB"/>
        </w:rPr>
        <w:t>.9</w:t>
      </w:r>
      <w:r w:rsidR="00F42EB1" w:rsidRPr="00336C11">
        <w:rPr>
          <w:sz w:val="20"/>
          <w:szCs w:val="22"/>
          <w:lang w:val="en-GB"/>
        </w:rPr>
        <w:t>=250-20</w:t>
      </w:r>
      <w:r w:rsidR="00E42E09" w:rsidRPr="00336C11">
        <w:rPr>
          <w:sz w:val="20"/>
          <w:szCs w:val="22"/>
          <w:lang w:val="en-GB"/>
        </w:rPr>
        <w:t>0.1</w:t>
      </w:r>
      <w:r w:rsidR="00F42EB1" w:rsidRPr="00336C11">
        <w:rPr>
          <w:sz w:val="20"/>
          <w:szCs w:val="22"/>
          <w:lang w:val="en-GB"/>
        </w:rPr>
        <w:t xml:space="preserve">) and </w:t>
      </w:r>
      <w:r w:rsidR="00E42E09" w:rsidRPr="00336C11">
        <w:rPr>
          <w:sz w:val="20"/>
          <w:szCs w:val="22"/>
          <w:lang w:val="en-GB"/>
        </w:rPr>
        <w:t>0.1</w:t>
      </w:r>
      <w:r w:rsidR="00F42EB1" w:rsidRPr="00336C11">
        <w:rPr>
          <w:sz w:val="20"/>
          <w:szCs w:val="22"/>
          <w:lang w:val="en-GB"/>
        </w:rPr>
        <w:t xml:space="preserve"> (</w:t>
      </w:r>
      <w:r w:rsidR="00E42E09" w:rsidRPr="00336C11">
        <w:rPr>
          <w:sz w:val="20"/>
          <w:szCs w:val="22"/>
          <w:lang w:val="en-GB"/>
        </w:rPr>
        <w:t>0.</w:t>
      </w:r>
      <w:r w:rsidR="00F42EB1" w:rsidRPr="00336C11">
        <w:rPr>
          <w:sz w:val="20"/>
          <w:szCs w:val="22"/>
          <w:lang w:val="en-GB"/>
        </w:rPr>
        <w:t>1=250-249</w:t>
      </w:r>
      <w:r w:rsidR="00E42E09" w:rsidRPr="00336C11">
        <w:rPr>
          <w:sz w:val="20"/>
          <w:szCs w:val="22"/>
          <w:lang w:val="en-GB"/>
        </w:rPr>
        <w:t>.9</w:t>
      </w:r>
      <w:r w:rsidR="00F42EB1" w:rsidRPr="00336C11">
        <w:rPr>
          <w:sz w:val="20"/>
          <w:szCs w:val="22"/>
          <w:lang w:val="en-GB"/>
        </w:rPr>
        <w:t>)</w:t>
      </w:r>
      <w:r w:rsidR="00E42E09" w:rsidRPr="00336C11">
        <w:rPr>
          <w:sz w:val="20"/>
          <w:szCs w:val="22"/>
          <w:lang w:val="en-GB"/>
        </w:rPr>
        <w:t>, respectively</w:t>
      </w:r>
      <w:r w:rsidR="00F42EB1" w:rsidRPr="00336C11">
        <w:rPr>
          <w:sz w:val="20"/>
          <w:szCs w:val="22"/>
          <w:lang w:val="en-GB"/>
        </w:rPr>
        <w:t xml:space="preserve">. </w:t>
      </w:r>
      <w:r w:rsidR="009C069C">
        <w:rPr>
          <w:sz w:val="20"/>
          <w:szCs w:val="22"/>
          <w:lang w:val="en-GB"/>
        </w:rPr>
        <w:t>I</w:t>
      </w:r>
      <w:r w:rsidR="00F42EB1" w:rsidRPr="00336C11">
        <w:rPr>
          <w:sz w:val="20"/>
          <w:szCs w:val="22"/>
          <w:lang w:val="en-GB"/>
        </w:rPr>
        <w:t>f</w:t>
      </w:r>
      <w:r w:rsidR="00275299" w:rsidRPr="00336C11">
        <w:rPr>
          <w:sz w:val="20"/>
          <w:szCs w:val="22"/>
          <w:lang w:val="en-GB"/>
        </w:rPr>
        <w:t>, again for instance,</w:t>
      </w:r>
      <w:r w:rsidR="00F42EB1" w:rsidRPr="00336C11">
        <w:rPr>
          <w:sz w:val="20"/>
          <w:szCs w:val="22"/>
          <w:lang w:val="en-GB"/>
        </w:rPr>
        <w:t xml:space="preserve"> </w:t>
      </w:r>
      <w:r w:rsidR="00E42E09" w:rsidRPr="00336C11">
        <w:rPr>
          <w:sz w:val="20"/>
          <w:szCs w:val="22"/>
          <w:lang w:val="en-GB"/>
        </w:rPr>
        <w:t xml:space="preserve">A were to buy B out </w:t>
      </w:r>
      <w:r w:rsidR="00F42EB1" w:rsidRPr="00336C11">
        <w:rPr>
          <w:sz w:val="20"/>
          <w:szCs w:val="22"/>
          <w:lang w:val="en-GB"/>
        </w:rPr>
        <w:t>at 299</w:t>
      </w:r>
      <w:r w:rsidR="00E42E09" w:rsidRPr="00336C11">
        <w:rPr>
          <w:sz w:val="20"/>
          <w:szCs w:val="22"/>
          <w:lang w:val="en-GB"/>
        </w:rPr>
        <w:t>.9</w:t>
      </w:r>
      <w:r w:rsidR="00F42EB1" w:rsidRPr="00336C11">
        <w:rPr>
          <w:sz w:val="20"/>
          <w:szCs w:val="22"/>
          <w:lang w:val="en-GB"/>
        </w:rPr>
        <w:t xml:space="preserve">, </w:t>
      </w:r>
      <w:r w:rsidR="00E42E09" w:rsidRPr="00336C11">
        <w:rPr>
          <w:sz w:val="20"/>
          <w:szCs w:val="22"/>
          <w:lang w:val="en-GB"/>
        </w:rPr>
        <w:t xml:space="preserve">B and A </w:t>
      </w:r>
      <w:r w:rsidR="00F42EB1" w:rsidRPr="00336C11">
        <w:rPr>
          <w:sz w:val="20"/>
          <w:szCs w:val="22"/>
          <w:lang w:val="en-GB"/>
        </w:rPr>
        <w:t xml:space="preserve">would </w:t>
      </w:r>
      <w:r w:rsidR="00E42E09" w:rsidRPr="00336C11">
        <w:rPr>
          <w:sz w:val="20"/>
          <w:szCs w:val="22"/>
          <w:lang w:val="en-GB"/>
        </w:rPr>
        <w:t>observe an increase in their payoffs equal to 0.</w:t>
      </w:r>
      <w:r w:rsidR="00F42EB1" w:rsidRPr="00336C11">
        <w:rPr>
          <w:sz w:val="20"/>
          <w:szCs w:val="22"/>
          <w:lang w:val="en-GB"/>
        </w:rPr>
        <w:t>1 (</w:t>
      </w:r>
      <w:r w:rsidR="00E42E09" w:rsidRPr="00336C11">
        <w:rPr>
          <w:sz w:val="20"/>
          <w:szCs w:val="22"/>
          <w:lang w:val="en-GB"/>
        </w:rPr>
        <w:t>0.</w:t>
      </w:r>
      <w:r w:rsidR="00F42EB1" w:rsidRPr="00336C11">
        <w:rPr>
          <w:sz w:val="20"/>
          <w:szCs w:val="22"/>
          <w:lang w:val="en-GB"/>
        </w:rPr>
        <w:t>1=250-249</w:t>
      </w:r>
      <w:r w:rsidR="00E42E09" w:rsidRPr="00336C11">
        <w:rPr>
          <w:sz w:val="20"/>
          <w:szCs w:val="22"/>
          <w:lang w:val="en-GB"/>
        </w:rPr>
        <w:t>.9</w:t>
      </w:r>
      <w:r w:rsidR="00F42EB1" w:rsidRPr="00336C11">
        <w:rPr>
          <w:sz w:val="20"/>
          <w:szCs w:val="22"/>
          <w:lang w:val="en-GB"/>
        </w:rPr>
        <w:t>) and 49</w:t>
      </w:r>
      <w:r w:rsidR="00E42E09" w:rsidRPr="00336C11">
        <w:rPr>
          <w:sz w:val="20"/>
          <w:szCs w:val="22"/>
          <w:lang w:val="en-GB"/>
        </w:rPr>
        <w:t>.9</w:t>
      </w:r>
      <w:r w:rsidR="00F42EB1" w:rsidRPr="00336C11">
        <w:rPr>
          <w:sz w:val="20"/>
          <w:szCs w:val="22"/>
          <w:lang w:val="en-GB"/>
        </w:rPr>
        <w:t xml:space="preserve"> (49</w:t>
      </w:r>
      <w:r w:rsidR="004A47E5">
        <w:rPr>
          <w:sz w:val="20"/>
          <w:szCs w:val="22"/>
          <w:lang w:val="en-GB"/>
        </w:rPr>
        <w:t>.9</w:t>
      </w:r>
      <w:r w:rsidR="00F42EB1" w:rsidRPr="00336C11">
        <w:rPr>
          <w:sz w:val="20"/>
          <w:szCs w:val="22"/>
          <w:lang w:val="en-GB"/>
        </w:rPr>
        <w:t>=250-201</w:t>
      </w:r>
      <w:r w:rsidR="00E42E09" w:rsidRPr="00336C11">
        <w:rPr>
          <w:sz w:val="20"/>
          <w:szCs w:val="22"/>
          <w:lang w:val="en-GB"/>
        </w:rPr>
        <w:t>.1</w:t>
      </w:r>
      <w:r w:rsidR="00F42EB1" w:rsidRPr="00336C11">
        <w:rPr>
          <w:sz w:val="20"/>
          <w:szCs w:val="22"/>
          <w:lang w:val="en-GB"/>
        </w:rPr>
        <w:t>)</w:t>
      </w:r>
      <w:r w:rsidR="00E42E09" w:rsidRPr="00336C11">
        <w:rPr>
          <w:sz w:val="20"/>
          <w:szCs w:val="22"/>
          <w:lang w:val="en-GB"/>
        </w:rPr>
        <w:t>, respectively</w:t>
      </w:r>
      <w:r w:rsidR="00F42EB1" w:rsidRPr="00336C11">
        <w:rPr>
          <w:sz w:val="20"/>
          <w:szCs w:val="22"/>
          <w:lang w:val="en-GB"/>
        </w:rPr>
        <w:t>.</w:t>
      </w:r>
      <w:r w:rsidR="00B00C34" w:rsidRPr="00336C11">
        <w:rPr>
          <w:rStyle w:val="FootnoteReference"/>
          <w:rFonts w:ascii="Times New Roman" w:hAnsi="Times New Roman"/>
          <w:sz w:val="20"/>
          <w:szCs w:val="22"/>
          <w:lang w:val="en-GB"/>
        </w:rPr>
        <w:footnoteReference w:id="54"/>
      </w:r>
      <w:r w:rsidR="00975071" w:rsidRPr="00336C11">
        <w:rPr>
          <w:sz w:val="20"/>
          <w:szCs w:val="22"/>
          <w:lang w:val="en-GB"/>
        </w:rPr>
        <w:t xml:space="preserve"> </w:t>
      </w:r>
      <w:r w:rsidR="00E359A8">
        <w:rPr>
          <w:sz w:val="20"/>
          <w:szCs w:val="22"/>
          <w:lang w:val="en-GB"/>
        </w:rPr>
        <w:t xml:space="preserve">To sum up: </w:t>
      </w:r>
      <w:r w:rsidR="00975071" w:rsidRPr="00336C11">
        <w:rPr>
          <w:sz w:val="20"/>
          <w:szCs w:val="22"/>
          <w:lang w:val="en-GB"/>
        </w:rPr>
        <w:t xml:space="preserve">A </w:t>
      </w:r>
      <w:r w:rsidR="009856D9">
        <w:rPr>
          <w:sz w:val="20"/>
          <w:szCs w:val="22"/>
          <w:lang w:val="en-GB"/>
        </w:rPr>
        <w:t>c</w:t>
      </w:r>
      <w:r w:rsidR="00975071" w:rsidRPr="00336C11">
        <w:rPr>
          <w:sz w:val="20"/>
          <w:szCs w:val="22"/>
          <w:lang w:val="en-GB"/>
        </w:rPr>
        <w:t xml:space="preserve">ould </w:t>
      </w:r>
      <w:r w:rsidR="009856D9">
        <w:rPr>
          <w:sz w:val="20"/>
          <w:szCs w:val="22"/>
          <w:lang w:val="en-GB"/>
        </w:rPr>
        <w:t xml:space="preserve">happen to </w:t>
      </w:r>
      <w:r w:rsidR="00975071" w:rsidRPr="00336C11">
        <w:rPr>
          <w:sz w:val="20"/>
          <w:szCs w:val="22"/>
          <w:lang w:val="en-GB"/>
        </w:rPr>
        <w:t>buy</w:t>
      </w:r>
      <w:r w:rsidR="009856D9">
        <w:rPr>
          <w:sz w:val="20"/>
          <w:szCs w:val="22"/>
          <w:lang w:val="en-GB"/>
        </w:rPr>
        <w:t xml:space="preserve"> </w:t>
      </w:r>
      <w:r w:rsidR="00975071" w:rsidRPr="00336C11">
        <w:rPr>
          <w:sz w:val="20"/>
          <w:szCs w:val="22"/>
          <w:lang w:val="en-GB"/>
        </w:rPr>
        <w:t xml:space="preserve">B out at a price </w:t>
      </w:r>
      <w:r w:rsidR="009856D9">
        <w:rPr>
          <w:sz w:val="20"/>
          <w:szCs w:val="22"/>
          <w:lang w:val="en-GB"/>
        </w:rPr>
        <w:t xml:space="preserve">ranging </w:t>
      </w:r>
      <w:r w:rsidR="00975071" w:rsidRPr="00336C11">
        <w:rPr>
          <w:sz w:val="20"/>
          <w:szCs w:val="22"/>
          <w:lang w:val="en-GB"/>
        </w:rPr>
        <w:t xml:space="preserve">between 200.1 and 299.9 – or </w:t>
      </w:r>
      <w:r w:rsidR="00975071" w:rsidRPr="00336C11">
        <w:rPr>
          <w:i/>
          <w:iCs/>
          <w:sz w:val="20"/>
          <w:szCs w:val="22"/>
          <w:lang w:val="en-GB"/>
        </w:rPr>
        <w:t>viceversa</w:t>
      </w:r>
      <w:r w:rsidR="00975071" w:rsidRPr="00336C11">
        <w:rPr>
          <w:sz w:val="20"/>
          <w:szCs w:val="22"/>
          <w:lang w:val="en-GB"/>
        </w:rPr>
        <w:t xml:space="preserve">. </w:t>
      </w:r>
      <w:r w:rsidR="00275299" w:rsidRPr="00336C11">
        <w:rPr>
          <w:sz w:val="20"/>
          <w:szCs w:val="22"/>
          <w:lang w:val="en-GB"/>
        </w:rPr>
        <w:t xml:space="preserve">To the extent that </w:t>
      </w:r>
      <w:r w:rsidR="00E359A8">
        <w:rPr>
          <w:sz w:val="20"/>
          <w:szCs w:val="22"/>
          <w:lang w:val="en-GB"/>
        </w:rPr>
        <w:t>either shareholder receives less than his pro rata fraction of post-deadlock firm value</w:t>
      </w:r>
      <w:r w:rsidR="00975071" w:rsidRPr="00336C11">
        <w:rPr>
          <w:sz w:val="20"/>
          <w:szCs w:val="22"/>
          <w:lang w:val="en-GB"/>
        </w:rPr>
        <w:t xml:space="preserve">, </w:t>
      </w:r>
      <w:r w:rsidR="00275299" w:rsidRPr="00336C11">
        <w:rPr>
          <w:sz w:val="20"/>
          <w:szCs w:val="22"/>
          <w:lang w:val="en-GB"/>
        </w:rPr>
        <w:t xml:space="preserve">this hypothetical buyout </w:t>
      </w:r>
      <w:r w:rsidR="00975071" w:rsidRPr="00336C11">
        <w:rPr>
          <w:sz w:val="20"/>
          <w:szCs w:val="22"/>
          <w:lang w:val="en-GB"/>
        </w:rPr>
        <w:t xml:space="preserve">would </w:t>
      </w:r>
      <w:r w:rsidR="00E359A8">
        <w:rPr>
          <w:sz w:val="20"/>
          <w:szCs w:val="22"/>
          <w:lang w:val="en-GB"/>
        </w:rPr>
        <w:t>prov</w:t>
      </w:r>
      <w:r w:rsidR="009856D9">
        <w:rPr>
          <w:sz w:val="20"/>
          <w:szCs w:val="22"/>
          <w:lang w:val="en-GB"/>
        </w:rPr>
        <w:t>e</w:t>
      </w:r>
      <w:r w:rsidR="00E359A8">
        <w:rPr>
          <w:sz w:val="20"/>
          <w:szCs w:val="22"/>
          <w:lang w:val="en-GB"/>
        </w:rPr>
        <w:t xml:space="preserve"> </w:t>
      </w:r>
      <w:r w:rsidR="001F4067" w:rsidRPr="00336C11">
        <w:rPr>
          <w:sz w:val="20"/>
          <w:szCs w:val="22"/>
          <w:lang w:val="en-GB"/>
        </w:rPr>
        <w:t>unfair.</w:t>
      </w:r>
    </w:p>
    <w:p w14:paraId="30B69C70" w14:textId="77777777" w:rsidR="004E0994" w:rsidRDefault="00876790" w:rsidP="007252F1">
      <w:pPr>
        <w:ind w:firstLine="567"/>
        <w:jc w:val="both"/>
        <w:rPr>
          <w:sz w:val="22"/>
          <w:szCs w:val="22"/>
          <w:lang w:val="en-GB"/>
        </w:rPr>
      </w:pPr>
      <w:r>
        <w:rPr>
          <w:sz w:val="22"/>
          <w:szCs w:val="22"/>
          <w:lang w:val="en-GB"/>
        </w:rPr>
        <w:t>In theory, situations may materialize in which e</w:t>
      </w:r>
      <w:r w:rsidRPr="00336C11">
        <w:rPr>
          <w:sz w:val="22"/>
          <w:szCs w:val="22"/>
          <w:lang w:val="en-GB"/>
        </w:rPr>
        <w:t xml:space="preserve">ither deadlocked shareholder could manage to sell his shareholding for just few nuts more than </w:t>
      </w:r>
      <w:r>
        <w:rPr>
          <w:sz w:val="22"/>
          <w:szCs w:val="22"/>
          <w:lang w:val="en-GB"/>
        </w:rPr>
        <w:t xml:space="preserve">what </w:t>
      </w:r>
      <w:r w:rsidRPr="00336C11">
        <w:rPr>
          <w:sz w:val="22"/>
          <w:szCs w:val="22"/>
          <w:lang w:val="en-GB"/>
        </w:rPr>
        <w:t xml:space="preserve">it is worth under the </w:t>
      </w:r>
      <w:r w:rsidRPr="00336C11">
        <w:rPr>
          <w:i/>
          <w:iCs/>
          <w:sz w:val="22"/>
          <w:szCs w:val="22"/>
          <w:lang w:val="en-GB"/>
        </w:rPr>
        <w:t>status quo</w:t>
      </w:r>
      <w:r>
        <w:rPr>
          <w:sz w:val="22"/>
          <w:szCs w:val="22"/>
          <w:lang w:val="en-GB"/>
        </w:rPr>
        <w:t xml:space="preserve">; or </w:t>
      </w:r>
      <w:r w:rsidRPr="00336C11">
        <w:rPr>
          <w:sz w:val="22"/>
          <w:szCs w:val="22"/>
          <w:lang w:val="en-GB"/>
        </w:rPr>
        <w:t>pay a very large premium absorb</w:t>
      </w:r>
      <w:r>
        <w:rPr>
          <w:sz w:val="22"/>
          <w:szCs w:val="22"/>
          <w:lang w:val="en-GB"/>
        </w:rPr>
        <w:t>ing</w:t>
      </w:r>
      <w:r w:rsidRPr="00336C11">
        <w:rPr>
          <w:sz w:val="22"/>
          <w:szCs w:val="22"/>
          <w:lang w:val="en-GB"/>
        </w:rPr>
        <w:t xml:space="preserve"> much or even almost all the additional value that he would be able to generate by running the firm alone shortly thereafter. These scenarios are perhaps extreme, and milder outcomes are certainly possible. </w:t>
      </w:r>
    </w:p>
    <w:p w14:paraId="4A42FE42" w14:textId="7CB8D678" w:rsidR="00876790" w:rsidRDefault="00876790" w:rsidP="007252F1">
      <w:pPr>
        <w:ind w:firstLine="567"/>
        <w:jc w:val="both"/>
        <w:rPr>
          <w:sz w:val="22"/>
          <w:szCs w:val="22"/>
          <w:lang w:val="en-GB"/>
        </w:rPr>
      </w:pPr>
      <w:r w:rsidRPr="00336C11">
        <w:rPr>
          <w:sz w:val="22"/>
          <w:szCs w:val="22"/>
          <w:lang w:val="en-GB"/>
        </w:rPr>
        <w:t>The bottom-line is</w:t>
      </w:r>
      <w:r w:rsidR="009856D9">
        <w:rPr>
          <w:sz w:val="22"/>
          <w:szCs w:val="22"/>
          <w:lang w:val="en-GB"/>
        </w:rPr>
        <w:t xml:space="preserve"> </w:t>
      </w:r>
      <w:r w:rsidRPr="00336C11">
        <w:rPr>
          <w:sz w:val="22"/>
          <w:szCs w:val="22"/>
          <w:lang w:val="en-GB"/>
        </w:rPr>
        <w:t xml:space="preserve">that </w:t>
      </w:r>
      <w:r w:rsidR="00B81C13">
        <w:rPr>
          <w:sz w:val="22"/>
          <w:szCs w:val="22"/>
          <w:lang w:val="en-GB"/>
        </w:rPr>
        <w:t xml:space="preserve">extemporary negotiations come with </w:t>
      </w:r>
      <w:r w:rsidR="004E0994">
        <w:rPr>
          <w:sz w:val="22"/>
          <w:szCs w:val="22"/>
          <w:lang w:val="en-GB"/>
        </w:rPr>
        <w:t xml:space="preserve">the </w:t>
      </w:r>
      <w:r w:rsidRPr="00336C11">
        <w:rPr>
          <w:sz w:val="22"/>
          <w:szCs w:val="22"/>
          <w:lang w:val="en-GB"/>
        </w:rPr>
        <w:t>risk</w:t>
      </w:r>
      <w:r w:rsidR="009856D9">
        <w:rPr>
          <w:sz w:val="22"/>
          <w:szCs w:val="22"/>
          <w:lang w:val="en-GB"/>
        </w:rPr>
        <w:t xml:space="preserve"> </w:t>
      </w:r>
      <w:r w:rsidRPr="00336C11">
        <w:rPr>
          <w:sz w:val="22"/>
          <w:szCs w:val="22"/>
          <w:lang w:val="en-GB"/>
        </w:rPr>
        <w:t>that</w:t>
      </w:r>
      <w:r w:rsidR="009856D9">
        <w:rPr>
          <w:sz w:val="22"/>
          <w:szCs w:val="22"/>
          <w:lang w:val="en-GB"/>
        </w:rPr>
        <w:t xml:space="preserve"> </w:t>
      </w:r>
      <w:r w:rsidRPr="00336C11">
        <w:rPr>
          <w:sz w:val="22"/>
          <w:szCs w:val="22"/>
          <w:lang w:val="en-GB"/>
        </w:rPr>
        <w:t xml:space="preserve">the deadlocked shareholders may end up with a fraction of post-deadlock firm value that is non-negligibly greater </w:t>
      </w:r>
      <w:r>
        <w:rPr>
          <w:sz w:val="22"/>
          <w:szCs w:val="22"/>
          <w:lang w:val="en-GB"/>
        </w:rPr>
        <w:t xml:space="preserve">and correspondingly </w:t>
      </w:r>
      <w:r w:rsidR="009856D9">
        <w:rPr>
          <w:sz w:val="22"/>
          <w:szCs w:val="22"/>
          <w:lang w:val="en-GB"/>
        </w:rPr>
        <w:t xml:space="preserve">non-negligibly </w:t>
      </w:r>
      <w:r>
        <w:rPr>
          <w:sz w:val="22"/>
          <w:szCs w:val="22"/>
          <w:lang w:val="en-GB"/>
        </w:rPr>
        <w:t xml:space="preserve">smaller </w:t>
      </w:r>
      <w:r w:rsidRPr="00336C11">
        <w:rPr>
          <w:sz w:val="22"/>
          <w:szCs w:val="22"/>
          <w:lang w:val="en-GB"/>
        </w:rPr>
        <w:t>than the</w:t>
      </w:r>
      <w:r>
        <w:rPr>
          <w:sz w:val="22"/>
          <w:szCs w:val="22"/>
          <w:lang w:val="en-GB"/>
        </w:rPr>
        <w:t xml:space="preserve">ir </w:t>
      </w:r>
      <w:r w:rsidRPr="007252F1">
        <w:rPr>
          <w:i/>
          <w:sz w:val="22"/>
          <w:szCs w:val="22"/>
          <w:lang w:val="en-GB"/>
        </w:rPr>
        <w:t>pro rata</w:t>
      </w:r>
      <w:r>
        <w:rPr>
          <w:sz w:val="22"/>
          <w:szCs w:val="22"/>
          <w:lang w:val="en-GB"/>
        </w:rPr>
        <w:t xml:space="preserve"> fraction</w:t>
      </w:r>
      <w:r w:rsidRPr="00336C11">
        <w:rPr>
          <w:sz w:val="22"/>
          <w:szCs w:val="22"/>
          <w:lang w:val="en-GB"/>
        </w:rPr>
        <w:t xml:space="preserve"> </w:t>
      </w:r>
      <w:r>
        <w:rPr>
          <w:sz w:val="22"/>
          <w:szCs w:val="22"/>
          <w:lang w:val="en-GB"/>
        </w:rPr>
        <w:t>of post-deadlock firm value</w:t>
      </w:r>
      <w:r w:rsidRPr="00336C11">
        <w:rPr>
          <w:sz w:val="22"/>
          <w:szCs w:val="22"/>
          <w:lang w:val="en-GB"/>
        </w:rPr>
        <w:t>.</w:t>
      </w:r>
      <w:r w:rsidRPr="00336C11">
        <w:rPr>
          <w:rStyle w:val="FootnoteReference"/>
          <w:rFonts w:ascii="Times New Roman" w:hAnsi="Times New Roman"/>
          <w:sz w:val="22"/>
          <w:szCs w:val="22"/>
          <w:lang w:val="en-GB"/>
        </w:rPr>
        <w:footnoteReference w:id="55"/>
      </w:r>
    </w:p>
    <w:p w14:paraId="3FDB8FB4" w14:textId="1579BD92" w:rsidR="005C4935" w:rsidRPr="00950738" w:rsidRDefault="00950738" w:rsidP="00950738">
      <w:pPr>
        <w:pStyle w:val="Heading2"/>
        <w:numPr>
          <w:ilvl w:val="1"/>
          <w:numId w:val="28"/>
        </w:numPr>
        <w:spacing w:before="480"/>
        <w:ind w:left="567" w:hanging="567"/>
        <w:rPr>
          <w:i/>
          <w:sz w:val="22"/>
          <w:szCs w:val="22"/>
          <w:lang w:val="en-GB"/>
        </w:rPr>
      </w:pPr>
      <w:bookmarkStart w:id="32" w:name="_Toc66125109"/>
      <w:bookmarkStart w:id="33" w:name="_Toc67392673"/>
      <w:r>
        <w:rPr>
          <w:i/>
          <w:sz w:val="22"/>
          <w:szCs w:val="22"/>
          <w:lang w:val="en-GB"/>
        </w:rPr>
        <w:t>As</w:t>
      </w:r>
      <w:r w:rsidR="006870D5" w:rsidRPr="00950738">
        <w:rPr>
          <w:i/>
          <w:sz w:val="22"/>
          <w:szCs w:val="22"/>
          <w:lang w:val="en-GB"/>
        </w:rPr>
        <w:t>ymmetric Bargaining Environment</w:t>
      </w:r>
      <w:bookmarkEnd w:id="32"/>
      <w:bookmarkEnd w:id="33"/>
    </w:p>
    <w:p w14:paraId="0FD63F87" w14:textId="649BC8D1" w:rsidR="00456885" w:rsidRPr="00456885" w:rsidRDefault="00B81C13" w:rsidP="00456885">
      <w:pPr>
        <w:ind w:firstLine="567"/>
        <w:jc w:val="both"/>
        <w:rPr>
          <w:sz w:val="22"/>
          <w:szCs w:val="22"/>
          <w:lang w:val="en-GB"/>
        </w:rPr>
      </w:pPr>
      <w:r>
        <w:rPr>
          <w:sz w:val="22"/>
          <w:szCs w:val="22"/>
          <w:lang w:val="en-GB"/>
        </w:rPr>
        <w:t xml:space="preserve">The deadlocked shareholders’ quest for fair buyouts does not </w:t>
      </w:r>
      <w:r w:rsidR="004E0994">
        <w:rPr>
          <w:sz w:val="22"/>
          <w:szCs w:val="22"/>
          <w:lang w:val="en-GB"/>
        </w:rPr>
        <w:t xml:space="preserve">obviously </w:t>
      </w:r>
      <w:r>
        <w:rPr>
          <w:sz w:val="22"/>
          <w:szCs w:val="22"/>
          <w:lang w:val="en-GB"/>
        </w:rPr>
        <w:t xml:space="preserve">prove less </w:t>
      </w:r>
      <w:r w:rsidR="004E0994">
        <w:rPr>
          <w:sz w:val="22"/>
          <w:szCs w:val="22"/>
          <w:lang w:val="en-GB"/>
        </w:rPr>
        <w:t xml:space="preserve">problematic </w:t>
      </w:r>
      <w:r>
        <w:rPr>
          <w:sz w:val="22"/>
          <w:szCs w:val="22"/>
          <w:lang w:val="en-GB"/>
        </w:rPr>
        <w:t>once the assumption of perfect symmetry is relaxed</w:t>
      </w:r>
      <w:r w:rsidR="00455547">
        <w:rPr>
          <w:sz w:val="22"/>
          <w:szCs w:val="22"/>
          <w:lang w:val="en-GB"/>
        </w:rPr>
        <w:t xml:space="preserve"> and </w:t>
      </w:r>
      <w:r w:rsidR="00E7730C">
        <w:rPr>
          <w:sz w:val="22"/>
          <w:szCs w:val="22"/>
          <w:lang w:val="en-GB"/>
        </w:rPr>
        <w:t xml:space="preserve">asymmetries in </w:t>
      </w:r>
      <w:r w:rsidR="006E6280">
        <w:rPr>
          <w:sz w:val="22"/>
          <w:szCs w:val="22"/>
          <w:lang w:val="en-GB"/>
        </w:rPr>
        <w:t>information, managerial skills or financial capabilities</w:t>
      </w:r>
      <w:r w:rsidR="00455547">
        <w:rPr>
          <w:sz w:val="22"/>
          <w:szCs w:val="22"/>
          <w:lang w:val="en-GB"/>
        </w:rPr>
        <w:t xml:space="preserve"> enter the frame</w:t>
      </w:r>
      <w:r>
        <w:rPr>
          <w:sz w:val="22"/>
          <w:szCs w:val="22"/>
          <w:lang w:val="en-GB"/>
        </w:rPr>
        <w:t>.</w:t>
      </w:r>
    </w:p>
    <w:p w14:paraId="74D3506E" w14:textId="3172DB6B" w:rsidR="006E6280" w:rsidRPr="006E6280" w:rsidRDefault="006E6280" w:rsidP="006E6280">
      <w:pPr>
        <w:pStyle w:val="Heading3"/>
        <w:numPr>
          <w:ilvl w:val="2"/>
          <w:numId w:val="28"/>
        </w:numPr>
        <w:rPr>
          <w:sz w:val="22"/>
          <w:lang w:val="en-GB"/>
        </w:rPr>
      </w:pPr>
      <w:bookmarkStart w:id="34" w:name="_Toc66125110"/>
      <w:bookmarkStart w:id="35" w:name="_Toc67392674"/>
      <w:r w:rsidRPr="006E6280">
        <w:rPr>
          <w:sz w:val="22"/>
          <w:lang w:val="en-GB"/>
        </w:rPr>
        <w:lastRenderedPageBreak/>
        <w:t>Information Asymmetries</w:t>
      </w:r>
      <w:bookmarkEnd w:id="34"/>
      <w:bookmarkEnd w:id="35"/>
    </w:p>
    <w:p w14:paraId="6524D1EB" w14:textId="71E3E938" w:rsidR="005C4935" w:rsidRPr="007C1998" w:rsidRDefault="00E23E9F" w:rsidP="005C4935">
      <w:pPr>
        <w:ind w:firstLine="567"/>
        <w:jc w:val="both"/>
        <w:rPr>
          <w:sz w:val="22"/>
          <w:szCs w:val="22"/>
          <w:lang w:val="en-GB"/>
        </w:rPr>
      </w:pPr>
      <w:r>
        <w:rPr>
          <w:sz w:val="22"/>
          <w:szCs w:val="22"/>
          <w:lang w:val="en-GB"/>
        </w:rPr>
        <w:t>T</w:t>
      </w:r>
      <w:r w:rsidR="005C4935" w:rsidRPr="007C1998">
        <w:rPr>
          <w:sz w:val="22"/>
          <w:szCs w:val="22"/>
          <w:lang w:val="en-GB"/>
        </w:rPr>
        <w:t xml:space="preserve">he deadlocked shareholders </w:t>
      </w:r>
      <w:r w:rsidR="00BE7984">
        <w:rPr>
          <w:sz w:val="22"/>
          <w:szCs w:val="22"/>
          <w:lang w:val="en-GB"/>
        </w:rPr>
        <w:t xml:space="preserve">might </w:t>
      </w:r>
      <w:r w:rsidR="005C4935" w:rsidRPr="007C1998">
        <w:rPr>
          <w:sz w:val="22"/>
          <w:szCs w:val="22"/>
          <w:lang w:val="en-GB"/>
        </w:rPr>
        <w:t xml:space="preserve">have different information as regards the </w:t>
      </w:r>
      <w:r w:rsidR="00A71592">
        <w:rPr>
          <w:sz w:val="22"/>
          <w:szCs w:val="22"/>
          <w:lang w:val="en-GB"/>
        </w:rPr>
        <w:t xml:space="preserve">deadlocked </w:t>
      </w:r>
      <w:r w:rsidR="005C4935" w:rsidRPr="007C1998">
        <w:rPr>
          <w:sz w:val="22"/>
          <w:szCs w:val="22"/>
          <w:lang w:val="en-GB"/>
        </w:rPr>
        <w:t xml:space="preserve">firm. To be sure, the focus here is more limitedly on information asymmetries concerning the firm’s future prospects </w:t>
      </w:r>
      <w:r w:rsidR="005C4935" w:rsidRPr="007C1998">
        <w:rPr>
          <w:i/>
          <w:iCs/>
          <w:sz w:val="22"/>
          <w:szCs w:val="22"/>
          <w:lang w:val="en-GB"/>
        </w:rPr>
        <w:t>based on its</w:t>
      </w:r>
      <w:r w:rsidR="005C4935" w:rsidRPr="007C1998">
        <w:rPr>
          <w:sz w:val="22"/>
          <w:szCs w:val="22"/>
          <w:lang w:val="en-GB"/>
        </w:rPr>
        <w:t xml:space="preserve"> </w:t>
      </w:r>
      <w:r w:rsidR="00456885" w:rsidRPr="007C1998">
        <w:rPr>
          <w:i/>
          <w:iCs/>
          <w:sz w:val="22"/>
          <w:szCs w:val="22"/>
          <w:lang w:val="en-GB"/>
        </w:rPr>
        <w:t>existing</w:t>
      </w:r>
      <w:r w:rsidR="005C4935" w:rsidRPr="007C1998">
        <w:rPr>
          <w:i/>
          <w:iCs/>
          <w:sz w:val="22"/>
          <w:szCs w:val="22"/>
          <w:lang w:val="en-GB"/>
        </w:rPr>
        <w:t xml:space="preserve"> business plans</w:t>
      </w:r>
      <w:r w:rsidR="005C4935" w:rsidRPr="007C1998">
        <w:rPr>
          <w:sz w:val="22"/>
          <w:szCs w:val="22"/>
          <w:lang w:val="en-GB"/>
        </w:rPr>
        <w:t xml:space="preserve">. </w:t>
      </w:r>
      <w:r w:rsidR="00456885" w:rsidRPr="007C1998">
        <w:rPr>
          <w:sz w:val="22"/>
          <w:szCs w:val="22"/>
          <w:lang w:val="en-GB"/>
        </w:rPr>
        <w:t>(</w:t>
      </w:r>
      <w:r w:rsidR="005C4935" w:rsidRPr="007C1998">
        <w:rPr>
          <w:sz w:val="22"/>
          <w:szCs w:val="22"/>
          <w:lang w:val="en-GB"/>
        </w:rPr>
        <w:t xml:space="preserve">Phrased in the negative, these information asymmetries to do not relate to projects that either shareholder contemplates based on his own idiosyncratic vision of the business, which, although concerning the firm too, are private information </w:t>
      </w:r>
      <w:r w:rsidR="00370970">
        <w:rPr>
          <w:sz w:val="22"/>
          <w:szCs w:val="22"/>
          <w:lang w:val="en-GB"/>
        </w:rPr>
        <w:t xml:space="preserve">for they are </w:t>
      </w:r>
      <w:r w:rsidR="005C4935" w:rsidRPr="007C1998">
        <w:rPr>
          <w:sz w:val="22"/>
          <w:szCs w:val="22"/>
          <w:lang w:val="en-GB"/>
        </w:rPr>
        <w:t>the function of so-called “entrepreneurship”</w:t>
      </w:r>
      <w:r w:rsidR="00456885" w:rsidRPr="007C1998">
        <w:rPr>
          <w:rStyle w:val="FootnoteReference"/>
          <w:rFonts w:ascii="Times New Roman" w:hAnsi="Times New Roman"/>
          <w:sz w:val="22"/>
          <w:szCs w:val="22"/>
          <w:lang w:val="en-GB"/>
        </w:rPr>
        <w:t xml:space="preserve"> </w:t>
      </w:r>
      <w:r w:rsidR="00456885" w:rsidRPr="007C1998">
        <w:rPr>
          <w:rStyle w:val="FootnoteReference"/>
          <w:rFonts w:ascii="Times New Roman" w:hAnsi="Times New Roman"/>
          <w:sz w:val="22"/>
          <w:szCs w:val="22"/>
          <w:lang w:val="en-GB"/>
        </w:rPr>
        <w:footnoteReference w:id="56"/>
      </w:r>
      <w:r w:rsidR="005C4935" w:rsidRPr="007C1998">
        <w:rPr>
          <w:sz w:val="22"/>
          <w:szCs w:val="22"/>
          <w:lang w:val="en-GB"/>
        </w:rPr>
        <w:t xml:space="preserve">). </w:t>
      </w:r>
      <w:r w:rsidR="000C6875" w:rsidRPr="007C1998">
        <w:rPr>
          <w:sz w:val="22"/>
          <w:szCs w:val="22"/>
          <w:lang w:val="en-GB"/>
        </w:rPr>
        <w:t>To make sense of this scenario, consider the following hypothetical</w:t>
      </w:r>
      <w:r w:rsidR="00335DE3">
        <w:rPr>
          <w:sz w:val="22"/>
          <w:szCs w:val="22"/>
          <w:lang w:val="en-GB"/>
        </w:rPr>
        <w:t>.</w:t>
      </w:r>
      <w:r w:rsidR="000C6875" w:rsidRPr="007C1998">
        <w:rPr>
          <w:sz w:val="22"/>
          <w:szCs w:val="22"/>
          <w:lang w:val="en-GB"/>
        </w:rPr>
        <w:t xml:space="preserve"> </w:t>
      </w:r>
      <w:r w:rsidR="005C4935" w:rsidRPr="007C1998">
        <w:rPr>
          <w:sz w:val="22"/>
          <w:szCs w:val="22"/>
          <w:lang w:val="en-GB"/>
        </w:rPr>
        <w:t xml:space="preserve"> </w:t>
      </w:r>
      <w:r w:rsidR="00335DE3">
        <w:rPr>
          <w:sz w:val="22"/>
          <w:szCs w:val="22"/>
          <w:lang w:val="en-GB"/>
        </w:rPr>
        <w:t>T</w:t>
      </w:r>
      <w:r w:rsidR="00335DE3" w:rsidRPr="007C1998">
        <w:rPr>
          <w:sz w:val="22"/>
          <w:szCs w:val="22"/>
          <w:lang w:val="en-GB"/>
        </w:rPr>
        <w:t xml:space="preserve">he </w:t>
      </w:r>
      <w:r w:rsidR="005C4935" w:rsidRPr="007C1998">
        <w:rPr>
          <w:sz w:val="22"/>
          <w:szCs w:val="22"/>
          <w:lang w:val="en-GB"/>
        </w:rPr>
        <w:t>firm has undertaken a potentially very profitable R&amp;D project</w:t>
      </w:r>
      <w:r w:rsidR="00335DE3">
        <w:rPr>
          <w:sz w:val="22"/>
          <w:szCs w:val="22"/>
          <w:lang w:val="en-GB"/>
        </w:rPr>
        <w:t xml:space="preserve"> whose value is X. T</w:t>
      </w:r>
      <w:r w:rsidR="005C4935" w:rsidRPr="007C1998">
        <w:rPr>
          <w:sz w:val="22"/>
          <w:szCs w:val="22"/>
          <w:lang w:val="en-GB"/>
        </w:rPr>
        <w:t>he deadlocked shareholders both know that such project will have a 10% probability of success</w:t>
      </w:r>
      <w:r w:rsidR="00335DE3">
        <w:rPr>
          <w:sz w:val="22"/>
          <w:szCs w:val="22"/>
          <w:lang w:val="en-GB"/>
        </w:rPr>
        <w:t xml:space="preserve"> so that its value stands at X*.1. O</w:t>
      </w:r>
      <w:r w:rsidR="005C4935" w:rsidRPr="007C1998">
        <w:rPr>
          <w:sz w:val="22"/>
          <w:szCs w:val="22"/>
          <w:lang w:val="en-GB"/>
        </w:rPr>
        <w:t>ne deadlocked shareholder receives private information suggesting that the probability of success is 99,9%</w:t>
      </w:r>
      <w:r w:rsidR="00335DE3">
        <w:rPr>
          <w:sz w:val="22"/>
          <w:szCs w:val="22"/>
          <w:lang w:val="en-GB"/>
        </w:rPr>
        <w:t xml:space="preserve"> so that the project’s value is X*.99</w:t>
      </w:r>
      <w:r w:rsidR="005C4935" w:rsidRPr="007C1998">
        <w:rPr>
          <w:sz w:val="22"/>
          <w:szCs w:val="22"/>
          <w:lang w:val="en-GB"/>
        </w:rPr>
        <w:t xml:space="preserve">. This is the sort of private information considered herein. </w:t>
      </w:r>
    </w:p>
    <w:p w14:paraId="509602EE" w14:textId="4DABF151" w:rsidR="005C4935" w:rsidRPr="007C1998" w:rsidRDefault="005C4935" w:rsidP="005C4935">
      <w:pPr>
        <w:ind w:firstLine="567"/>
        <w:jc w:val="both"/>
        <w:rPr>
          <w:sz w:val="22"/>
          <w:szCs w:val="22"/>
          <w:lang w:val="en-GB"/>
        </w:rPr>
      </w:pPr>
      <w:r w:rsidRPr="007C1998">
        <w:rPr>
          <w:sz w:val="22"/>
          <w:szCs w:val="22"/>
          <w:lang w:val="en-GB"/>
        </w:rPr>
        <w:t>Differences in the information accessible to the deadlocked shareholder</w:t>
      </w:r>
      <w:r w:rsidR="00370970">
        <w:rPr>
          <w:sz w:val="22"/>
          <w:szCs w:val="22"/>
          <w:lang w:val="en-GB"/>
        </w:rPr>
        <w:t>s</w:t>
      </w:r>
      <w:r w:rsidRPr="007C1998">
        <w:rPr>
          <w:sz w:val="22"/>
          <w:szCs w:val="22"/>
          <w:lang w:val="en-GB"/>
        </w:rPr>
        <w:t xml:space="preserve"> can be the by-product out of a variety of factors.</w:t>
      </w:r>
      <w:r w:rsidRPr="007C1998">
        <w:rPr>
          <w:rStyle w:val="FootnoteReference"/>
          <w:rFonts w:ascii="Times New Roman" w:hAnsi="Times New Roman"/>
          <w:sz w:val="22"/>
          <w:szCs w:val="22"/>
          <w:lang w:val="en-GB"/>
        </w:rPr>
        <w:footnoteReference w:id="57"/>
      </w:r>
      <w:r w:rsidRPr="007C1998">
        <w:rPr>
          <w:sz w:val="22"/>
          <w:szCs w:val="22"/>
          <w:lang w:val="en-GB"/>
        </w:rPr>
        <w:t xml:space="preserve"> One notable cause is role allocation within the firm. In close firms, one shareholder often ends up being the </w:t>
      </w:r>
      <w:r w:rsidRPr="007C1998">
        <w:rPr>
          <w:i/>
          <w:iCs/>
          <w:sz w:val="22"/>
          <w:szCs w:val="22"/>
          <w:lang w:val="en-GB"/>
        </w:rPr>
        <w:t>de facto</w:t>
      </w:r>
      <w:r w:rsidRPr="007C1998">
        <w:rPr>
          <w:sz w:val="22"/>
          <w:szCs w:val="22"/>
          <w:lang w:val="en-GB"/>
        </w:rPr>
        <w:t xml:space="preserve"> sole “active” shareholder, with the other shareholder serving as mere provider of financial capital,</w:t>
      </w:r>
      <w:r w:rsidR="00A71592">
        <w:rPr>
          <w:sz w:val="22"/>
          <w:szCs w:val="22"/>
          <w:lang w:val="en-GB"/>
        </w:rPr>
        <w:t xml:space="preserve"> instead.</w:t>
      </w:r>
      <w:r w:rsidRPr="007C1998">
        <w:rPr>
          <w:rStyle w:val="FootnoteReference"/>
          <w:rFonts w:ascii="Times New Roman" w:hAnsi="Times New Roman"/>
          <w:sz w:val="22"/>
          <w:szCs w:val="22"/>
          <w:lang w:val="en-GB"/>
        </w:rPr>
        <w:footnoteReference w:id="58"/>
      </w:r>
      <w:r w:rsidRPr="007C1998">
        <w:rPr>
          <w:sz w:val="22"/>
          <w:szCs w:val="22"/>
          <w:lang w:val="en-GB"/>
        </w:rPr>
        <w:t xml:space="preserve"> Even when </w:t>
      </w:r>
      <w:r w:rsidR="000C6875" w:rsidRPr="007C1998">
        <w:rPr>
          <w:sz w:val="22"/>
          <w:szCs w:val="22"/>
          <w:lang w:val="en-GB"/>
        </w:rPr>
        <w:t xml:space="preserve">the deadlocked </w:t>
      </w:r>
      <w:r w:rsidRPr="007C1998">
        <w:rPr>
          <w:sz w:val="22"/>
          <w:szCs w:val="22"/>
          <w:lang w:val="en-GB"/>
        </w:rPr>
        <w:t xml:space="preserve">shareholders are </w:t>
      </w:r>
      <w:r w:rsidR="000C6875" w:rsidRPr="007C1998">
        <w:rPr>
          <w:sz w:val="22"/>
          <w:szCs w:val="22"/>
          <w:lang w:val="en-GB"/>
        </w:rPr>
        <w:t xml:space="preserve">both </w:t>
      </w:r>
      <w:r w:rsidRPr="007C1998">
        <w:rPr>
          <w:sz w:val="22"/>
          <w:szCs w:val="22"/>
          <w:lang w:val="en-GB"/>
        </w:rPr>
        <w:t xml:space="preserve">actively involved in the firm, </w:t>
      </w:r>
      <w:r w:rsidR="00E23E9F">
        <w:rPr>
          <w:sz w:val="22"/>
          <w:szCs w:val="22"/>
          <w:lang w:val="en-GB"/>
        </w:rPr>
        <w:t xml:space="preserve">they may </w:t>
      </w:r>
      <w:r w:rsidRPr="007C1998">
        <w:rPr>
          <w:sz w:val="22"/>
          <w:szCs w:val="22"/>
          <w:lang w:val="en-GB"/>
        </w:rPr>
        <w:t xml:space="preserve">happen </w:t>
      </w:r>
      <w:r w:rsidR="00E23E9F">
        <w:rPr>
          <w:sz w:val="22"/>
          <w:szCs w:val="22"/>
          <w:lang w:val="en-GB"/>
        </w:rPr>
        <w:t xml:space="preserve">to </w:t>
      </w:r>
      <w:r w:rsidRPr="007C1998">
        <w:rPr>
          <w:sz w:val="22"/>
          <w:szCs w:val="22"/>
          <w:lang w:val="en-GB"/>
        </w:rPr>
        <w:t xml:space="preserve">hold differently important positions within the organization. For instance, only one shareholder </w:t>
      </w:r>
      <w:r w:rsidR="00E23E9F">
        <w:rPr>
          <w:sz w:val="22"/>
          <w:szCs w:val="22"/>
          <w:lang w:val="en-GB"/>
        </w:rPr>
        <w:t xml:space="preserve">could be </w:t>
      </w:r>
      <w:r w:rsidRPr="007C1998">
        <w:rPr>
          <w:sz w:val="22"/>
          <w:szCs w:val="22"/>
          <w:lang w:val="en-GB"/>
        </w:rPr>
        <w:t xml:space="preserve">responsible for an essential function of the firm (e.g., the firm’s strategic and financial management) that by nature implies access prompt access to the most </w:t>
      </w:r>
      <w:r w:rsidR="00E23E9F">
        <w:rPr>
          <w:sz w:val="22"/>
          <w:szCs w:val="22"/>
          <w:lang w:val="en-GB"/>
        </w:rPr>
        <w:t xml:space="preserve">material </w:t>
      </w:r>
      <w:r w:rsidRPr="007C1998">
        <w:rPr>
          <w:sz w:val="22"/>
          <w:szCs w:val="22"/>
          <w:lang w:val="en-GB"/>
        </w:rPr>
        <w:t xml:space="preserve">information and that the other shareholder </w:t>
      </w:r>
      <w:r w:rsidR="00E23E9F">
        <w:rPr>
          <w:sz w:val="22"/>
          <w:szCs w:val="22"/>
          <w:lang w:val="en-GB"/>
        </w:rPr>
        <w:t xml:space="preserve">could be </w:t>
      </w:r>
      <w:r w:rsidRPr="007C1998">
        <w:rPr>
          <w:sz w:val="22"/>
          <w:szCs w:val="22"/>
          <w:lang w:val="en-GB"/>
        </w:rPr>
        <w:t>responsible for activities (e.g., the firm’s logistics) that do not entail access to equally material information</w:t>
      </w:r>
      <w:r w:rsidR="00E23E9F">
        <w:rPr>
          <w:sz w:val="22"/>
          <w:szCs w:val="22"/>
          <w:lang w:val="en-GB"/>
        </w:rPr>
        <w:t>,</w:t>
      </w:r>
      <w:r w:rsidR="00E23E9F" w:rsidRPr="00E23E9F">
        <w:rPr>
          <w:sz w:val="22"/>
          <w:szCs w:val="22"/>
          <w:lang w:val="en-GB"/>
        </w:rPr>
        <w:t xml:space="preserve"> </w:t>
      </w:r>
      <w:r w:rsidR="00E23E9F" w:rsidRPr="007C1998">
        <w:rPr>
          <w:sz w:val="22"/>
          <w:szCs w:val="22"/>
          <w:lang w:val="en-GB"/>
        </w:rPr>
        <w:t>instead</w:t>
      </w:r>
      <w:r w:rsidRPr="007C1998">
        <w:rPr>
          <w:sz w:val="22"/>
          <w:szCs w:val="22"/>
          <w:lang w:val="en-GB"/>
        </w:rPr>
        <w:t>.</w:t>
      </w:r>
      <w:r w:rsidRPr="007C1998">
        <w:rPr>
          <w:rStyle w:val="FootnoteReference"/>
          <w:rFonts w:ascii="Times New Roman" w:hAnsi="Times New Roman"/>
          <w:sz w:val="22"/>
          <w:szCs w:val="22"/>
          <w:lang w:val="en-GB"/>
        </w:rPr>
        <w:footnoteReference w:id="59"/>
      </w:r>
      <w:r w:rsidRPr="007C1998">
        <w:rPr>
          <w:sz w:val="22"/>
          <w:szCs w:val="22"/>
          <w:lang w:val="en-GB"/>
        </w:rPr>
        <w:t xml:space="preserve"> </w:t>
      </w:r>
    </w:p>
    <w:p w14:paraId="33E51263" w14:textId="268E1F68" w:rsidR="005C4935" w:rsidRPr="007C1998" w:rsidRDefault="005C4935" w:rsidP="00455547">
      <w:pPr>
        <w:ind w:firstLine="567"/>
        <w:jc w:val="both"/>
        <w:rPr>
          <w:sz w:val="22"/>
          <w:szCs w:val="22"/>
          <w:lang w:val="en-GB"/>
        </w:rPr>
      </w:pPr>
      <w:r w:rsidRPr="007C1998">
        <w:rPr>
          <w:sz w:val="22"/>
          <w:szCs w:val="22"/>
          <w:lang w:val="en-GB"/>
        </w:rPr>
        <w:t>Informational imbalances here imply that</w:t>
      </w:r>
      <w:r w:rsidR="00456885" w:rsidRPr="007C1998">
        <w:rPr>
          <w:sz w:val="22"/>
          <w:szCs w:val="22"/>
          <w:lang w:val="en-GB"/>
        </w:rPr>
        <w:t xml:space="preserve"> </w:t>
      </w:r>
      <w:r w:rsidRPr="007C1998">
        <w:rPr>
          <w:sz w:val="22"/>
          <w:szCs w:val="22"/>
          <w:lang w:val="en-GB"/>
        </w:rPr>
        <w:t>deadlocked firm value PDV is common knowledge</w:t>
      </w:r>
      <w:r w:rsidR="00E23E9F">
        <w:rPr>
          <w:sz w:val="22"/>
          <w:szCs w:val="22"/>
          <w:lang w:val="en-GB"/>
        </w:rPr>
        <w:t xml:space="preserve"> for both the deadlocked shareholders</w:t>
      </w:r>
      <w:r w:rsidR="00A71592">
        <w:rPr>
          <w:sz w:val="22"/>
          <w:szCs w:val="22"/>
          <w:lang w:val="en-GB"/>
        </w:rPr>
        <w:t>. H</w:t>
      </w:r>
      <w:r w:rsidR="00E23E9F">
        <w:rPr>
          <w:sz w:val="22"/>
          <w:szCs w:val="22"/>
          <w:lang w:val="en-GB"/>
        </w:rPr>
        <w:t xml:space="preserve">owever, </w:t>
      </w:r>
      <w:r w:rsidR="00456885" w:rsidRPr="007C1998">
        <w:rPr>
          <w:sz w:val="22"/>
          <w:szCs w:val="22"/>
          <w:lang w:val="en-GB"/>
        </w:rPr>
        <w:t xml:space="preserve">being </w:t>
      </w:r>
      <w:r w:rsidRPr="007C1998">
        <w:rPr>
          <w:sz w:val="22"/>
          <w:szCs w:val="22"/>
          <w:lang w:val="en-GB"/>
        </w:rPr>
        <w:t xml:space="preserve">differently able </w:t>
      </w:r>
      <w:r w:rsidRPr="007C1998">
        <w:rPr>
          <w:sz w:val="22"/>
          <w:szCs w:val="22"/>
          <w:lang w:val="en-US"/>
        </w:rPr>
        <w:t>to foresee the ongoing sequence of events</w:t>
      </w:r>
      <w:r w:rsidRPr="007C1998">
        <w:rPr>
          <w:sz w:val="22"/>
          <w:szCs w:val="22"/>
          <w:lang w:val="en-GB"/>
        </w:rPr>
        <w:t xml:space="preserve"> concerning the firm</w:t>
      </w:r>
      <w:r w:rsidR="00456885" w:rsidRPr="007C1998">
        <w:rPr>
          <w:sz w:val="22"/>
          <w:szCs w:val="22"/>
          <w:lang w:val="en-GB"/>
        </w:rPr>
        <w:t>,</w:t>
      </w:r>
      <w:r w:rsidRPr="007C1998">
        <w:rPr>
          <w:sz w:val="22"/>
          <w:szCs w:val="22"/>
          <w:lang w:val="en-GB"/>
        </w:rPr>
        <w:t xml:space="preserve"> </w:t>
      </w:r>
      <w:r w:rsidR="00A71592">
        <w:rPr>
          <w:sz w:val="22"/>
          <w:szCs w:val="22"/>
          <w:lang w:val="en-GB"/>
        </w:rPr>
        <w:t xml:space="preserve">the deadlocked shareholders </w:t>
      </w:r>
      <w:r w:rsidRPr="007C1998">
        <w:rPr>
          <w:sz w:val="22"/>
          <w:szCs w:val="22"/>
          <w:lang w:val="en-GB"/>
        </w:rPr>
        <w:t xml:space="preserve">define expected post-deadlock </w:t>
      </w:r>
      <w:r w:rsidR="00A71592">
        <w:rPr>
          <w:sz w:val="22"/>
          <w:szCs w:val="22"/>
          <w:lang w:val="en-GB"/>
        </w:rPr>
        <w:t xml:space="preserve">firm </w:t>
      </w:r>
      <w:r w:rsidRPr="007C1998">
        <w:rPr>
          <w:sz w:val="22"/>
          <w:szCs w:val="22"/>
          <w:lang w:val="en-GB"/>
        </w:rPr>
        <w:t>value</w:t>
      </w:r>
      <w:r w:rsidR="00456885" w:rsidRPr="007C1998">
        <w:rPr>
          <w:sz w:val="22"/>
          <w:szCs w:val="22"/>
          <w:lang w:val="en-GB"/>
        </w:rPr>
        <w:t xml:space="preserve"> PDFV</w:t>
      </w:r>
      <w:r w:rsidR="00E23E9F">
        <w:rPr>
          <w:sz w:val="22"/>
          <w:szCs w:val="22"/>
          <w:lang w:val="en-GB"/>
        </w:rPr>
        <w:t xml:space="preserve"> differently</w:t>
      </w:r>
      <w:r w:rsidRPr="007C1998">
        <w:rPr>
          <w:sz w:val="22"/>
          <w:szCs w:val="22"/>
          <w:lang w:val="en-GB"/>
        </w:rPr>
        <w:t xml:space="preserve">. </w:t>
      </w:r>
      <w:r w:rsidR="0083034B">
        <w:rPr>
          <w:sz w:val="22"/>
          <w:szCs w:val="22"/>
          <w:lang w:val="en-GB"/>
        </w:rPr>
        <w:t>More in detail, the situation may come into existence in which t</w:t>
      </w:r>
      <w:r w:rsidR="00A71592">
        <w:rPr>
          <w:sz w:val="22"/>
          <w:szCs w:val="22"/>
          <w:lang w:val="en-GB"/>
        </w:rPr>
        <w:t xml:space="preserve">he more informed shareholder has private information that enable him to come up with an </w:t>
      </w:r>
      <w:r w:rsidR="00FC27E1" w:rsidRPr="007C1998">
        <w:rPr>
          <w:sz w:val="22"/>
          <w:szCs w:val="22"/>
          <w:lang w:val="en-GB"/>
        </w:rPr>
        <w:t>estimate</w:t>
      </w:r>
      <w:r w:rsidR="00A71592">
        <w:rPr>
          <w:sz w:val="22"/>
          <w:szCs w:val="22"/>
          <w:lang w:val="en-GB"/>
        </w:rPr>
        <w:t xml:space="preserve"> PDFV</w:t>
      </w:r>
      <w:r w:rsidR="00A71592" w:rsidRPr="00C1598F">
        <w:rPr>
          <w:sz w:val="22"/>
          <w:szCs w:val="22"/>
          <w:vertAlign w:val="subscript"/>
          <w:lang w:val="en-GB"/>
        </w:rPr>
        <w:t>1</w:t>
      </w:r>
      <w:r w:rsidR="00FC27E1" w:rsidRPr="007C1998">
        <w:rPr>
          <w:sz w:val="22"/>
          <w:szCs w:val="22"/>
          <w:lang w:val="en-GB"/>
        </w:rPr>
        <w:t xml:space="preserve"> </w:t>
      </w:r>
      <w:r w:rsidR="00A71592">
        <w:rPr>
          <w:sz w:val="22"/>
          <w:szCs w:val="22"/>
          <w:lang w:val="en-GB"/>
        </w:rPr>
        <w:t xml:space="preserve">that is more </w:t>
      </w:r>
      <w:r w:rsidR="0083034B">
        <w:rPr>
          <w:sz w:val="22"/>
          <w:szCs w:val="22"/>
          <w:lang w:val="en-GB"/>
        </w:rPr>
        <w:t xml:space="preserve">accurate </w:t>
      </w:r>
      <w:r w:rsidR="00A71592">
        <w:rPr>
          <w:sz w:val="22"/>
          <w:szCs w:val="22"/>
          <w:lang w:val="en-GB"/>
        </w:rPr>
        <w:t>than the estimate PDFV</w:t>
      </w:r>
      <w:r w:rsidR="00A71592" w:rsidRPr="00C1598F">
        <w:rPr>
          <w:sz w:val="22"/>
          <w:szCs w:val="22"/>
          <w:vertAlign w:val="subscript"/>
          <w:lang w:val="en-GB"/>
        </w:rPr>
        <w:t>2</w:t>
      </w:r>
      <w:r w:rsidR="00A71592">
        <w:rPr>
          <w:sz w:val="22"/>
          <w:szCs w:val="22"/>
          <w:lang w:val="en-GB"/>
        </w:rPr>
        <w:t xml:space="preserve"> </w:t>
      </w:r>
      <w:r w:rsidR="00FC27E1" w:rsidRPr="007C1998">
        <w:rPr>
          <w:sz w:val="22"/>
          <w:szCs w:val="22"/>
          <w:lang w:val="en-GB"/>
        </w:rPr>
        <w:t>to which the other deadlocked shareholder can come</w:t>
      </w:r>
      <w:r w:rsidR="000C6875" w:rsidRPr="007C1998">
        <w:rPr>
          <w:sz w:val="22"/>
          <w:szCs w:val="22"/>
          <w:lang w:val="en-GB"/>
        </w:rPr>
        <w:t>.</w:t>
      </w:r>
      <w:r w:rsidR="0083034B">
        <w:rPr>
          <w:sz w:val="22"/>
          <w:szCs w:val="22"/>
          <w:lang w:val="en-GB"/>
        </w:rPr>
        <w:t xml:space="preserve"> Besides, the </w:t>
      </w:r>
      <w:r w:rsidR="00370970">
        <w:rPr>
          <w:sz w:val="22"/>
          <w:szCs w:val="22"/>
          <w:lang w:val="en-GB"/>
        </w:rPr>
        <w:t>more knowledgeable</w:t>
      </w:r>
      <w:r w:rsidR="0083034B">
        <w:rPr>
          <w:sz w:val="22"/>
          <w:szCs w:val="22"/>
          <w:lang w:val="en-GB"/>
        </w:rPr>
        <w:t xml:space="preserve"> deadlocked shareholder </w:t>
      </w:r>
      <w:r w:rsidR="00A71592">
        <w:rPr>
          <w:sz w:val="22"/>
          <w:szCs w:val="22"/>
          <w:lang w:val="en-GB"/>
        </w:rPr>
        <w:t xml:space="preserve">also </w:t>
      </w:r>
      <w:r w:rsidRPr="007C1998">
        <w:rPr>
          <w:sz w:val="22"/>
          <w:szCs w:val="22"/>
          <w:lang w:val="en-GB"/>
        </w:rPr>
        <w:t xml:space="preserve">knows that he has superior information and an </w:t>
      </w:r>
      <w:r w:rsidR="007B2387">
        <w:rPr>
          <w:sz w:val="22"/>
          <w:szCs w:val="22"/>
          <w:lang w:val="en-GB"/>
        </w:rPr>
        <w:lastRenderedPageBreak/>
        <w:t xml:space="preserve">at least </w:t>
      </w:r>
      <w:r w:rsidRPr="007C1998">
        <w:rPr>
          <w:sz w:val="22"/>
          <w:szCs w:val="22"/>
          <w:lang w:val="en-GB"/>
        </w:rPr>
        <w:t xml:space="preserve">vague idea as to what are the pieces of information that the </w:t>
      </w:r>
      <w:r w:rsidR="004320F4">
        <w:rPr>
          <w:sz w:val="22"/>
          <w:szCs w:val="22"/>
          <w:lang w:val="en-GB"/>
        </w:rPr>
        <w:t xml:space="preserve">less knowledgeable </w:t>
      </w:r>
      <w:r w:rsidR="00456885" w:rsidRPr="007C1998">
        <w:rPr>
          <w:sz w:val="22"/>
          <w:szCs w:val="22"/>
          <w:lang w:val="en-GB"/>
        </w:rPr>
        <w:t xml:space="preserve">deadlocked </w:t>
      </w:r>
      <w:r w:rsidRPr="007C1998">
        <w:rPr>
          <w:sz w:val="22"/>
          <w:szCs w:val="22"/>
          <w:lang w:val="en-GB"/>
        </w:rPr>
        <w:t xml:space="preserve">shareholder does not have, so as to be able to come up with a rough inference as to </w:t>
      </w:r>
      <w:r w:rsidR="00456885" w:rsidRPr="007C1998">
        <w:rPr>
          <w:sz w:val="22"/>
          <w:szCs w:val="22"/>
          <w:lang w:val="en-GB"/>
        </w:rPr>
        <w:t xml:space="preserve">his </w:t>
      </w:r>
      <w:r w:rsidRPr="007C1998">
        <w:rPr>
          <w:sz w:val="22"/>
          <w:szCs w:val="22"/>
          <w:lang w:val="en-GB"/>
        </w:rPr>
        <w:t xml:space="preserve">estimate </w:t>
      </w:r>
      <w:r w:rsidR="00456885" w:rsidRPr="007C1998">
        <w:rPr>
          <w:sz w:val="22"/>
          <w:szCs w:val="22"/>
          <w:lang w:val="en-GB"/>
        </w:rPr>
        <w:t>as to PDFV</w:t>
      </w:r>
      <w:r w:rsidR="00456885" w:rsidRPr="007C1998">
        <w:rPr>
          <w:sz w:val="22"/>
          <w:szCs w:val="22"/>
          <w:vertAlign w:val="subscript"/>
          <w:lang w:val="en-GB"/>
        </w:rPr>
        <w:t>2</w:t>
      </w:r>
      <w:r w:rsidRPr="007C1998">
        <w:rPr>
          <w:sz w:val="22"/>
          <w:szCs w:val="22"/>
          <w:lang w:val="en-GB"/>
        </w:rPr>
        <w:t xml:space="preserve">. </w:t>
      </w:r>
      <w:r w:rsidR="0083034B">
        <w:rPr>
          <w:sz w:val="22"/>
          <w:szCs w:val="22"/>
          <w:lang w:val="en-GB"/>
        </w:rPr>
        <w:t>Moreover</w:t>
      </w:r>
      <w:r w:rsidRPr="007C1998">
        <w:rPr>
          <w:sz w:val="22"/>
          <w:szCs w:val="22"/>
          <w:lang w:val="en-GB"/>
        </w:rPr>
        <w:t xml:space="preserve">, </w:t>
      </w:r>
      <w:r w:rsidR="004320F4">
        <w:rPr>
          <w:sz w:val="22"/>
          <w:szCs w:val="22"/>
          <w:lang w:val="en-GB"/>
        </w:rPr>
        <w:t xml:space="preserve">the less knowledgeable </w:t>
      </w:r>
      <w:r w:rsidR="00456885" w:rsidRPr="007C1998">
        <w:rPr>
          <w:sz w:val="22"/>
          <w:szCs w:val="22"/>
          <w:lang w:val="en-GB"/>
        </w:rPr>
        <w:t xml:space="preserve">deadlocked shareholder </w:t>
      </w:r>
      <w:r w:rsidRPr="007C1998">
        <w:rPr>
          <w:sz w:val="22"/>
          <w:szCs w:val="22"/>
          <w:lang w:val="en-GB"/>
        </w:rPr>
        <w:t xml:space="preserve">ignores the quantity and/or quality of the superior information to which the </w:t>
      </w:r>
      <w:r w:rsidR="004320F4">
        <w:rPr>
          <w:sz w:val="22"/>
          <w:szCs w:val="22"/>
          <w:lang w:val="en-GB"/>
        </w:rPr>
        <w:t xml:space="preserve">more knowledgeable </w:t>
      </w:r>
      <w:r w:rsidR="00456885" w:rsidRPr="007C1998">
        <w:rPr>
          <w:sz w:val="22"/>
          <w:szCs w:val="22"/>
          <w:lang w:val="en-GB"/>
        </w:rPr>
        <w:t xml:space="preserve">deadlocked </w:t>
      </w:r>
      <w:r w:rsidRPr="007C1998">
        <w:rPr>
          <w:sz w:val="22"/>
          <w:szCs w:val="22"/>
          <w:lang w:val="en-GB"/>
        </w:rPr>
        <w:t xml:space="preserve">shareholder is privy and </w:t>
      </w:r>
      <w:r w:rsidR="00E23E9F" w:rsidRPr="007C1998">
        <w:rPr>
          <w:sz w:val="22"/>
          <w:szCs w:val="22"/>
          <w:lang w:val="en-GB"/>
        </w:rPr>
        <w:t>for some reasons</w:t>
      </w:r>
      <w:r w:rsidR="00E23E9F" w:rsidRPr="007C1998" w:rsidDel="00E23E9F">
        <w:rPr>
          <w:sz w:val="22"/>
          <w:szCs w:val="22"/>
          <w:lang w:val="en-GB"/>
        </w:rPr>
        <w:t xml:space="preserve"> </w:t>
      </w:r>
      <w:r w:rsidRPr="007C1998">
        <w:rPr>
          <w:sz w:val="22"/>
          <w:szCs w:val="22"/>
          <w:lang w:val="en-GB"/>
        </w:rPr>
        <w:t xml:space="preserve">he is unable to </w:t>
      </w:r>
      <w:r w:rsidR="004320F4">
        <w:rPr>
          <w:sz w:val="22"/>
          <w:szCs w:val="22"/>
          <w:lang w:val="en-GB"/>
        </w:rPr>
        <w:t xml:space="preserve">make </w:t>
      </w:r>
      <w:r w:rsidR="00E23E9F">
        <w:rPr>
          <w:sz w:val="22"/>
          <w:szCs w:val="22"/>
          <w:lang w:val="en-GB"/>
        </w:rPr>
        <w:t xml:space="preserve">also </w:t>
      </w:r>
      <w:r w:rsidR="004320F4">
        <w:rPr>
          <w:sz w:val="22"/>
          <w:szCs w:val="22"/>
          <w:lang w:val="en-GB"/>
        </w:rPr>
        <w:t xml:space="preserve">any valuable </w:t>
      </w:r>
      <w:r w:rsidRPr="007C1998">
        <w:rPr>
          <w:sz w:val="22"/>
          <w:szCs w:val="22"/>
          <w:lang w:val="en-GB"/>
        </w:rPr>
        <w:t>infer</w:t>
      </w:r>
      <w:r w:rsidR="004320F4">
        <w:rPr>
          <w:sz w:val="22"/>
          <w:szCs w:val="22"/>
          <w:lang w:val="en-GB"/>
        </w:rPr>
        <w:t>ence</w:t>
      </w:r>
      <w:r w:rsidRPr="007C1998">
        <w:rPr>
          <w:sz w:val="22"/>
          <w:szCs w:val="22"/>
          <w:lang w:val="en-GB"/>
        </w:rPr>
        <w:t xml:space="preserve"> </w:t>
      </w:r>
      <w:r w:rsidR="004320F4">
        <w:rPr>
          <w:sz w:val="22"/>
          <w:szCs w:val="22"/>
          <w:lang w:val="en-GB"/>
        </w:rPr>
        <w:t xml:space="preserve">based on the observation of </w:t>
      </w:r>
      <w:r w:rsidR="00456885" w:rsidRPr="007C1998">
        <w:rPr>
          <w:sz w:val="22"/>
          <w:szCs w:val="22"/>
          <w:lang w:val="en-GB"/>
        </w:rPr>
        <w:t xml:space="preserve">his </w:t>
      </w:r>
      <w:r w:rsidRPr="007C1998">
        <w:rPr>
          <w:sz w:val="22"/>
          <w:szCs w:val="22"/>
          <w:lang w:val="en-GB"/>
        </w:rPr>
        <w:t>behaviour.</w:t>
      </w:r>
    </w:p>
    <w:p w14:paraId="7C7F34C4" w14:textId="4D83162F" w:rsidR="00525571" w:rsidRPr="00336C11" w:rsidRDefault="00360C83" w:rsidP="00525571">
      <w:pPr>
        <w:ind w:firstLine="567"/>
        <w:jc w:val="both"/>
        <w:rPr>
          <w:sz w:val="22"/>
          <w:szCs w:val="22"/>
          <w:lang w:val="en-GB"/>
        </w:rPr>
      </w:pPr>
      <w:r>
        <w:rPr>
          <w:sz w:val="22"/>
          <w:szCs w:val="22"/>
          <w:lang w:val="en-GB"/>
        </w:rPr>
        <w:t>Under these circumstances, the lowest price</w:t>
      </w:r>
      <w:r w:rsidR="00A71592">
        <w:rPr>
          <w:sz w:val="22"/>
          <w:szCs w:val="22"/>
          <w:lang w:val="en-GB"/>
        </w:rPr>
        <w:t xml:space="preserve"> </w:t>
      </w:r>
      <w:r w:rsidR="00D961F9">
        <w:rPr>
          <w:sz w:val="22"/>
          <w:szCs w:val="22"/>
          <w:lang w:val="en-GB"/>
        </w:rPr>
        <w:t xml:space="preserve">LP1 and LP2 </w:t>
      </w:r>
      <w:r w:rsidR="00A71592">
        <w:rPr>
          <w:sz w:val="22"/>
          <w:szCs w:val="22"/>
          <w:lang w:val="en-GB"/>
        </w:rPr>
        <w:t>that both</w:t>
      </w:r>
      <w:r>
        <w:rPr>
          <w:sz w:val="22"/>
          <w:szCs w:val="22"/>
          <w:lang w:val="en-GB"/>
        </w:rPr>
        <w:t xml:space="preserve"> the deadlocked shareholders would accept to sell their shareholding is equal to their outside options plus the inducement required to justify the exchange – that is, </w:t>
      </w:r>
      <w:r w:rsidR="00D961F9">
        <w:rPr>
          <w:sz w:val="22"/>
          <w:szCs w:val="22"/>
          <w:lang w:val="en-GB"/>
        </w:rPr>
        <w:t>LP</w:t>
      </w:r>
      <w:r w:rsidR="00D961F9" w:rsidRPr="00C1598F">
        <w:rPr>
          <w:sz w:val="22"/>
          <w:szCs w:val="22"/>
          <w:vertAlign w:val="subscript"/>
          <w:lang w:val="en-GB"/>
        </w:rPr>
        <w:t>1</w:t>
      </w:r>
      <w:r>
        <w:rPr>
          <w:sz w:val="22"/>
          <w:szCs w:val="22"/>
          <w:lang w:val="en-GB"/>
        </w:rPr>
        <w:t>=</w:t>
      </w:r>
      <w:r w:rsidR="00D961F9">
        <w:rPr>
          <w:sz w:val="22"/>
          <w:szCs w:val="22"/>
          <w:lang w:val="en-GB"/>
        </w:rPr>
        <w:t>LP</w:t>
      </w:r>
      <w:r w:rsidR="00D961F9" w:rsidRPr="00C1598F">
        <w:rPr>
          <w:sz w:val="22"/>
          <w:szCs w:val="22"/>
          <w:vertAlign w:val="subscript"/>
          <w:lang w:val="en-GB"/>
        </w:rPr>
        <w:t>2</w:t>
      </w:r>
      <w:r>
        <w:rPr>
          <w:sz w:val="22"/>
          <w:szCs w:val="22"/>
          <w:lang w:val="en-GB"/>
        </w:rPr>
        <w:t xml:space="preserve">=DFV/2+X. </w:t>
      </w:r>
      <w:r w:rsidR="00CE6F36">
        <w:rPr>
          <w:sz w:val="22"/>
          <w:szCs w:val="22"/>
          <w:lang w:val="en-GB"/>
        </w:rPr>
        <w:t>The highest price that the less knowledgeable deadlocked shareholder would pay is equal to the difference between his estimate as to post-deadlock firm value and his outside option minus the inducement that would justify the exchange – that is, HP</w:t>
      </w:r>
      <w:r w:rsidR="00CE6F36" w:rsidRPr="00C1598F">
        <w:rPr>
          <w:sz w:val="22"/>
          <w:szCs w:val="22"/>
          <w:vertAlign w:val="subscript"/>
          <w:lang w:val="en-GB"/>
        </w:rPr>
        <w:t>2</w:t>
      </w:r>
      <w:r w:rsidR="00CE6F36">
        <w:rPr>
          <w:sz w:val="22"/>
          <w:szCs w:val="22"/>
          <w:lang w:val="en-GB"/>
        </w:rPr>
        <w:t>=(PDFV</w:t>
      </w:r>
      <w:r w:rsidR="00CE6F36" w:rsidRPr="00C1598F">
        <w:rPr>
          <w:sz w:val="22"/>
          <w:szCs w:val="22"/>
          <w:vertAlign w:val="subscript"/>
          <w:lang w:val="en-GB"/>
        </w:rPr>
        <w:t>2</w:t>
      </w:r>
      <w:r w:rsidR="00CE6F36">
        <w:rPr>
          <w:sz w:val="22"/>
          <w:szCs w:val="22"/>
          <w:lang w:val="en-GB"/>
        </w:rPr>
        <w:t>-DFV/2)-X. Because of informational asymmetries, t</w:t>
      </w:r>
      <w:r>
        <w:rPr>
          <w:sz w:val="22"/>
          <w:szCs w:val="22"/>
          <w:lang w:val="en-GB"/>
        </w:rPr>
        <w:t>he highest price</w:t>
      </w:r>
      <w:r w:rsidR="007014B5">
        <w:rPr>
          <w:sz w:val="22"/>
          <w:szCs w:val="22"/>
          <w:lang w:val="en-GB"/>
        </w:rPr>
        <w:t xml:space="preserve"> </w:t>
      </w:r>
      <w:r>
        <w:rPr>
          <w:sz w:val="22"/>
          <w:szCs w:val="22"/>
          <w:lang w:val="en-GB"/>
        </w:rPr>
        <w:t xml:space="preserve">that the </w:t>
      </w:r>
      <w:r w:rsidR="00AB021C">
        <w:rPr>
          <w:sz w:val="22"/>
          <w:szCs w:val="22"/>
          <w:lang w:val="en-GB"/>
        </w:rPr>
        <w:t xml:space="preserve">more knowledgeable deadlocked shareholder would pay is equal to the </w:t>
      </w:r>
      <w:r w:rsidR="00CE6F36">
        <w:rPr>
          <w:sz w:val="22"/>
          <w:szCs w:val="22"/>
          <w:lang w:val="en-GB"/>
        </w:rPr>
        <w:t xml:space="preserve">highest price that the less knowledgeable deadlocked shareholder plus </w:t>
      </w:r>
      <w:r w:rsidR="00AB021C">
        <w:rPr>
          <w:sz w:val="22"/>
          <w:szCs w:val="22"/>
          <w:lang w:val="en-GB"/>
        </w:rPr>
        <w:t xml:space="preserve">the inducement that would justify the exchange – that is, </w:t>
      </w:r>
      <w:r w:rsidR="007014B5">
        <w:rPr>
          <w:sz w:val="22"/>
          <w:szCs w:val="22"/>
          <w:lang w:val="en-GB"/>
        </w:rPr>
        <w:t>HP</w:t>
      </w:r>
      <w:r w:rsidR="007014B5" w:rsidRPr="00C1598F">
        <w:rPr>
          <w:sz w:val="22"/>
          <w:szCs w:val="22"/>
          <w:vertAlign w:val="subscript"/>
          <w:lang w:val="en-GB"/>
        </w:rPr>
        <w:t>1</w:t>
      </w:r>
      <w:r w:rsidR="007014B5">
        <w:rPr>
          <w:sz w:val="22"/>
          <w:szCs w:val="22"/>
          <w:lang w:val="en-GB"/>
        </w:rPr>
        <w:t>=</w:t>
      </w:r>
      <w:r w:rsidR="00CE6F36">
        <w:rPr>
          <w:sz w:val="22"/>
          <w:szCs w:val="22"/>
          <w:lang w:val="en-GB"/>
        </w:rPr>
        <w:t>HP2+X</w:t>
      </w:r>
      <w:r w:rsidR="00AB021C">
        <w:rPr>
          <w:sz w:val="22"/>
          <w:szCs w:val="22"/>
          <w:lang w:val="en-GB"/>
        </w:rPr>
        <w:t xml:space="preserve">. </w:t>
      </w:r>
    </w:p>
    <w:p w14:paraId="45780E3A" w14:textId="647C48FD" w:rsidR="007014B5" w:rsidRDefault="007014B5" w:rsidP="00525571">
      <w:pPr>
        <w:ind w:firstLine="567"/>
        <w:jc w:val="both"/>
        <w:rPr>
          <w:sz w:val="22"/>
          <w:szCs w:val="22"/>
          <w:lang w:val="en-GB"/>
        </w:rPr>
      </w:pPr>
      <w:r>
        <w:rPr>
          <w:sz w:val="22"/>
          <w:szCs w:val="22"/>
          <w:lang w:val="en-GB"/>
        </w:rPr>
        <w:t>The ZoPA here has two ends. One end consists in the deadlocked shareholders’ outside options plus the inducement that justifies the exchange – that is</w:t>
      </w:r>
      <w:r w:rsidRPr="007014B5">
        <w:rPr>
          <w:sz w:val="22"/>
          <w:szCs w:val="22"/>
          <w:lang w:val="en-GB"/>
        </w:rPr>
        <w:t xml:space="preserve"> </w:t>
      </w:r>
      <w:r>
        <w:rPr>
          <w:sz w:val="22"/>
          <w:szCs w:val="22"/>
          <w:lang w:val="en-GB"/>
        </w:rPr>
        <w:t xml:space="preserve">DFV/2+X. Another end consists in the highest price that the less informed deadlocked shareholder would pay to the more informed deadlocked shareholder </w:t>
      </w:r>
      <w:r w:rsidR="00CE6F36">
        <w:rPr>
          <w:sz w:val="22"/>
          <w:szCs w:val="22"/>
          <w:lang w:val="en-GB"/>
        </w:rPr>
        <w:t xml:space="preserve">plus </w:t>
      </w:r>
      <w:r>
        <w:rPr>
          <w:sz w:val="22"/>
          <w:szCs w:val="22"/>
          <w:lang w:val="en-GB"/>
        </w:rPr>
        <w:t>the inducement that would justify the exchange – that is, HP</w:t>
      </w:r>
      <w:r w:rsidRPr="002912A6">
        <w:rPr>
          <w:sz w:val="22"/>
          <w:szCs w:val="22"/>
          <w:vertAlign w:val="subscript"/>
          <w:lang w:val="en-GB"/>
        </w:rPr>
        <w:t>2</w:t>
      </w:r>
      <w:r w:rsidR="00CE6F36">
        <w:rPr>
          <w:sz w:val="22"/>
          <w:szCs w:val="22"/>
          <w:lang w:val="en-GB"/>
        </w:rPr>
        <w:t>+</w:t>
      </w:r>
      <w:r>
        <w:rPr>
          <w:sz w:val="22"/>
          <w:szCs w:val="22"/>
          <w:lang w:val="en-GB"/>
        </w:rPr>
        <w:t xml:space="preserve">X. </w:t>
      </w:r>
    </w:p>
    <w:p w14:paraId="4C8E9128" w14:textId="370524FB" w:rsidR="007014B5" w:rsidRDefault="007014B5" w:rsidP="00525571">
      <w:pPr>
        <w:ind w:firstLine="567"/>
        <w:jc w:val="both"/>
        <w:rPr>
          <w:sz w:val="22"/>
          <w:szCs w:val="22"/>
          <w:lang w:val="en-GB"/>
        </w:rPr>
      </w:pPr>
      <w:r>
        <w:rPr>
          <w:sz w:val="22"/>
          <w:szCs w:val="22"/>
          <w:lang w:val="en-GB"/>
        </w:rPr>
        <w:t xml:space="preserve">Extemporary negotiations could lead to setting a buyout price that may sit anywhere on this range. </w:t>
      </w:r>
      <w:r w:rsidR="00CE6F36">
        <w:rPr>
          <w:sz w:val="22"/>
          <w:szCs w:val="22"/>
          <w:lang w:val="en-GB"/>
        </w:rPr>
        <w:t>Dynamics analogous to those that can emerge under perfect symmetry can be still observable. Given the deadlocked shareholders’ outside options OP</w:t>
      </w:r>
      <w:r w:rsidR="00CE6F36" w:rsidRPr="002912A6">
        <w:rPr>
          <w:sz w:val="22"/>
          <w:szCs w:val="22"/>
          <w:vertAlign w:val="subscript"/>
          <w:lang w:val="en-GB"/>
        </w:rPr>
        <w:t>1</w:t>
      </w:r>
      <w:r w:rsidR="00CE6F36" w:rsidRPr="00BB34DC">
        <w:rPr>
          <w:sz w:val="22"/>
          <w:szCs w:val="22"/>
          <w:lang w:val="en-GB"/>
        </w:rPr>
        <w:t>=</w:t>
      </w:r>
      <w:r w:rsidR="00CE6F36">
        <w:rPr>
          <w:sz w:val="22"/>
          <w:szCs w:val="22"/>
          <w:lang w:val="en-GB"/>
        </w:rPr>
        <w:t>OP</w:t>
      </w:r>
      <w:r w:rsidR="00CE6F36">
        <w:rPr>
          <w:sz w:val="22"/>
          <w:szCs w:val="22"/>
          <w:vertAlign w:val="subscript"/>
          <w:lang w:val="en-GB"/>
        </w:rPr>
        <w:t>2</w:t>
      </w:r>
      <w:r w:rsidR="00CE6F36">
        <w:rPr>
          <w:sz w:val="22"/>
          <w:szCs w:val="22"/>
          <w:lang w:val="en-GB"/>
        </w:rPr>
        <w:t>=DFV/2, the more knowledgeable deadlocked shareholder could attempt to buy the less knowledgeable deadlocked shareholder out for a price P=DFV/2+X,</w:t>
      </w:r>
      <w:r w:rsidR="00CE6F36" w:rsidRPr="00681787">
        <w:rPr>
          <w:sz w:val="22"/>
          <w:szCs w:val="22"/>
          <w:lang w:val="en-GB"/>
        </w:rPr>
        <w:t xml:space="preserve"> </w:t>
      </w:r>
      <w:r w:rsidR="00CE6F36">
        <w:rPr>
          <w:sz w:val="22"/>
          <w:szCs w:val="22"/>
          <w:lang w:val="en-GB"/>
        </w:rPr>
        <w:t xml:space="preserve">thereby making a win W=PDFV1/2-P. Besides, as </w:t>
      </w:r>
      <w:r w:rsidR="00A14EBB">
        <w:rPr>
          <w:sz w:val="22"/>
          <w:szCs w:val="22"/>
          <w:lang w:val="en-GB"/>
        </w:rPr>
        <w:t>i</w:t>
      </w:r>
      <w:r>
        <w:rPr>
          <w:sz w:val="22"/>
          <w:szCs w:val="22"/>
          <w:lang w:val="en-GB"/>
        </w:rPr>
        <w:t>ntuitively</w:t>
      </w:r>
      <w:r w:rsidR="00A14EBB">
        <w:rPr>
          <w:sz w:val="22"/>
          <w:szCs w:val="22"/>
          <w:lang w:val="en-GB"/>
        </w:rPr>
        <w:t xml:space="preserve"> as obviously, </w:t>
      </w:r>
      <w:r>
        <w:rPr>
          <w:sz w:val="22"/>
          <w:szCs w:val="22"/>
          <w:lang w:val="en-GB"/>
        </w:rPr>
        <w:t xml:space="preserve">the risk comes into existence that </w:t>
      </w:r>
      <w:r w:rsidR="00A14EBB">
        <w:rPr>
          <w:sz w:val="22"/>
          <w:szCs w:val="22"/>
          <w:lang w:val="en-GB"/>
        </w:rPr>
        <w:t xml:space="preserve">the more knowledgeable deadlocked shareholder would buyout the less knowledgeable deadlocked shareholder </w:t>
      </w:r>
      <w:r>
        <w:rPr>
          <w:sz w:val="22"/>
          <w:szCs w:val="22"/>
          <w:lang w:val="en-GB"/>
        </w:rPr>
        <w:t>by offering any price P</w:t>
      </w:r>
      <w:r w:rsidRPr="00AB021C">
        <w:rPr>
          <w:sz w:val="22"/>
          <w:szCs w:val="22"/>
          <w:lang w:val="en-GB"/>
        </w:rPr>
        <w:t>≥</w:t>
      </w:r>
      <w:r>
        <w:rPr>
          <w:sz w:val="22"/>
          <w:szCs w:val="22"/>
          <w:lang w:val="en-GB"/>
        </w:rPr>
        <w:t>(PDFV</w:t>
      </w:r>
      <w:r w:rsidRPr="002912A6">
        <w:rPr>
          <w:sz w:val="22"/>
          <w:szCs w:val="22"/>
          <w:vertAlign w:val="subscript"/>
          <w:lang w:val="en-GB"/>
        </w:rPr>
        <w:t>2</w:t>
      </w:r>
      <w:r>
        <w:rPr>
          <w:sz w:val="22"/>
          <w:szCs w:val="22"/>
          <w:lang w:val="en-GB"/>
        </w:rPr>
        <w:t>-DFV/2</w:t>
      </w:r>
      <w:r w:rsidR="0030799D">
        <w:rPr>
          <w:sz w:val="22"/>
          <w:szCs w:val="22"/>
          <w:lang w:val="en-GB"/>
        </w:rPr>
        <w:t>)</w:t>
      </w:r>
      <w:r>
        <w:rPr>
          <w:sz w:val="22"/>
          <w:szCs w:val="22"/>
          <w:lang w:val="en-GB"/>
        </w:rPr>
        <w:t>, thereby making a win W=PDFV</w:t>
      </w:r>
      <w:r w:rsidRPr="002912A6">
        <w:rPr>
          <w:sz w:val="22"/>
          <w:szCs w:val="22"/>
          <w:vertAlign w:val="subscript"/>
          <w:lang w:val="en-GB"/>
        </w:rPr>
        <w:t>1</w:t>
      </w:r>
      <w:r>
        <w:rPr>
          <w:sz w:val="22"/>
          <w:szCs w:val="22"/>
          <w:lang w:val="en-GB"/>
        </w:rPr>
        <w:t>/2-P.</w:t>
      </w:r>
    </w:p>
    <w:p w14:paraId="1B2679D7" w14:textId="350866A1" w:rsidR="00525571" w:rsidRDefault="00967351" w:rsidP="00525571">
      <w:pPr>
        <w:ind w:firstLine="567"/>
        <w:jc w:val="both"/>
        <w:rPr>
          <w:sz w:val="22"/>
          <w:szCs w:val="22"/>
          <w:lang w:val="en-GB"/>
        </w:rPr>
      </w:pPr>
      <w:r>
        <w:rPr>
          <w:sz w:val="22"/>
          <w:szCs w:val="22"/>
          <w:lang w:val="en-GB"/>
        </w:rPr>
        <w:t xml:space="preserve">To sum up: </w:t>
      </w:r>
      <w:r w:rsidR="0030799D">
        <w:rPr>
          <w:sz w:val="22"/>
          <w:szCs w:val="22"/>
          <w:lang w:val="en-GB"/>
        </w:rPr>
        <w:t xml:space="preserve">rather obviously, information asymmetries do not </w:t>
      </w:r>
      <w:r w:rsidR="00981D79">
        <w:rPr>
          <w:sz w:val="22"/>
          <w:szCs w:val="22"/>
          <w:lang w:val="en-GB"/>
        </w:rPr>
        <w:t xml:space="preserve">reduce to any extent the bargaining </w:t>
      </w:r>
      <w:r w:rsidR="0030799D">
        <w:rPr>
          <w:sz w:val="22"/>
          <w:szCs w:val="22"/>
          <w:lang w:val="en-GB"/>
        </w:rPr>
        <w:t>outcome uncertainty that is observable already under perfect symmetry</w:t>
      </w:r>
      <w:r w:rsidR="00981D79">
        <w:rPr>
          <w:sz w:val="22"/>
          <w:szCs w:val="22"/>
          <w:lang w:val="en-GB"/>
        </w:rPr>
        <w:t>; rather,</w:t>
      </w:r>
      <w:r w:rsidR="0030799D">
        <w:rPr>
          <w:sz w:val="22"/>
          <w:szCs w:val="22"/>
          <w:lang w:val="en-GB"/>
        </w:rPr>
        <w:t xml:space="preserve"> they</w:t>
      </w:r>
      <w:r w:rsidR="00CE6F36">
        <w:rPr>
          <w:sz w:val="22"/>
          <w:szCs w:val="22"/>
          <w:lang w:val="en-GB"/>
        </w:rPr>
        <w:t xml:space="preserve"> create frictions </w:t>
      </w:r>
      <w:r w:rsidR="00981D79">
        <w:rPr>
          <w:sz w:val="22"/>
          <w:szCs w:val="22"/>
          <w:lang w:val="en-GB"/>
        </w:rPr>
        <w:t xml:space="preserve">in the bargaining environment </w:t>
      </w:r>
      <w:r w:rsidR="00CE6F36">
        <w:rPr>
          <w:sz w:val="22"/>
          <w:szCs w:val="22"/>
          <w:lang w:val="en-GB"/>
        </w:rPr>
        <w:t>that may contribute to propitiate unfair buyouts</w:t>
      </w:r>
      <w:r w:rsidR="00BB34DC">
        <w:rPr>
          <w:sz w:val="22"/>
          <w:szCs w:val="22"/>
          <w:lang w:val="en-GB"/>
        </w:rPr>
        <w:t>.</w:t>
      </w:r>
    </w:p>
    <w:p w14:paraId="1CBDF609" w14:textId="4E207386" w:rsidR="001116EF" w:rsidRDefault="00041778" w:rsidP="00525571">
      <w:pPr>
        <w:ind w:firstLine="567"/>
        <w:jc w:val="both"/>
        <w:rPr>
          <w:sz w:val="22"/>
          <w:szCs w:val="22"/>
          <w:lang w:val="en-GB"/>
        </w:rPr>
      </w:pPr>
      <w:r>
        <w:rPr>
          <w:sz w:val="22"/>
          <w:szCs w:val="22"/>
          <w:lang w:val="en-US"/>
        </w:rPr>
        <w:t xml:space="preserve">Quite importantly, although the more knowledgeable deadlocked shareholder has no tool to compel “mechanically” the less knowledgeable deadlocked shareholder to sell out, the voluntary nature of the exchange would not really serve as a </w:t>
      </w:r>
      <w:r w:rsidRPr="00937E61">
        <w:rPr>
          <w:sz w:val="22"/>
          <w:szCs w:val="22"/>
          <w:lang w:val="en-US"/>
        </w:rPr>
        <w:t>line of defense against unfairness</w:t>
      </w:r>
      <w:r>
        <w:rPr>
          <w:sz w:val="22"/>
          <w:szCs w:val="22"/>
          <w:lang w:val="en-US"/>
        </w:rPr>
        <w:t>. The less informed shareholder does in fact ignore the true state of the affairs. Hence, he would have no reason to object – or not to consent – to an unfair buyout</w:t>
      </w:r>
      <w:r w:rsidR="001116EF" w:rsidRPr="00937E61">
        <w:rPr>
          <w:sz w:val="22"/>
          <w:szCs w:val="22"/>
          <w:lang w:val="en-US"/>
        </w:rPr>
        <w:t>.</w:t>
      </w:r>
    </w:p>
    <w:p w14:paraId="7EB2FECF" w14:textId="237EC105" w:rsidR="00525571" w:rsidRPr="0022424A" w:rsidRDefault="00525571" w:rsidP="00525571">
      <w:pPr>
        <w:pStyle w:val="Heading3"/>
        <w:numPr>
          <w:ilvl w:val="2"/>
          <w:numId w:val="28"/>
        </w:numPr>
        <w:rPr>
          <w:sz w:val="22"/>
          <w:szCs w:val="22"/>
          <w:lang w:val="en-GB"/>
        </w:rPr>
      </w:pPr>
      <w:bookmarkStart w:id="36" w:name="_Toc66125111"/>
      <w:bookmarkStart w:id="37" w:name="_Toc67392675"/>
      <w:r w:rsidRPr="0022424A">
        <w:rPr>
          <w:sz w:val="22"/>
          <w:lang w:val="en-GB"/>
        </w:rPr>
        <w:t>Managerial Uneve</w:t>
      </w:r>
      <w:r w:rsidR="003D4B15" w:rsidRPr="0022424A">
        <w:rPr>
          <w:sz w:val="22"/>
          <w:lang w:val="en-GB"/>
        </w:rPr>
        <w:t>n</w:t>
      </w:r>
      <w:r w:rsidRPr="0022424A">
        <w:rPr>
          <w:sz w:val="22"/>
          <w:lang w:val="en-GB"/>
        </w:rPr>
        <w:t>ness</w:t>
      </w:r>
      <w:bookmarkEnd w:id="36"/>
      <w:bookmarkEnd w:id="37"/>
    </w:p>
    <w:p w14:paraId="118DDE98" w14:textId="61F8ABFC" w:rsidR="005C4935" w:rsidRPr="00967351" w:rsidRDefault="005C4935" w:rsidP="005C4935">
      <w:pPr>
        <w:ind w:firstLine="567"/>
        <w:jc w:val="both"/>
        <w:rPr>
          <w:sz w:val="22"/>
          <w:szCs w:val="22"/>
          <w:lang w:val="en-GB"/>
        </w:rPr>
      </w:pPr>
      <w:r w:rsidRPr="00967351">
        <w:rPr>
          <w:sz w:val="22"/>
          <w:szCs w:val="22"/>
          <w:lang w:val="en-GB"/>
        </w:rPr>
        <w:t xml:space="preserve">The deadlocked shareholders </w:t>
      </w:r>
      <w:r w:rsidR="00BE7984" w:rsidRPr="00967351">
        <w:rPr>
          <w:sz w:val="22"/>
          <w:szCs w:val="22"/>
          <w:lang w:val="en-GB"/>
        </w:rPr>
        <w:t xml:space="preserve">might also </w:t>
      </w:r>
      <w:r w:rsidR="00030CC5">
        <w:rPr>
          <w:sz w:val="22"/>
          <w:szCs w:val="22"/>
          <w:lang w:val="en-GB"/>
        </w:rPr>
        <w:t xml:space="preserve">happen to </w:t>
      </w:r>
      <w:r w:rsidRPr="00967351">
        <w:rPr>
          <w:sz w:val="22"/>
          <w:szCs w:val="22"/>
          <w:lang w:val="en-GB"/>
        </w:rPr>
        <w:t xml:space="preserve">have </w:t>
      </w:r>
      <w:r w:rsidR="0030799D">
        <w:rPr>
          <w:sz w:val="22"/>
          <w:szCs w:val="22"/>
          <w:lang w:val="en-GB"/>
        </w:rPr>
        <w:t xml:space="preserve">different </w:t>
      </w:r>
      <w:r w:rsidRPr="00967351">
        <w:rPr>
          <w:sz w:val="22"/>
          <w:szCs w:val="22"/>
          <w:lang w:val="en-GB"/>
        </w:rPr>
        <w:t xml:space="preserve">managerial skills </w:t>
      </w:r>
      <w:r w:rsidR="00BB34DC">
        <w:rPr>
          <w:sz w:val="22"/>
          <w:szCs w:val="22"/>
          <w:lang w:val="en-GB"/>
        </w:rPr>
        <w:t xml:space="preserve">– that is, </w:t>
      </w:r>
      <w:r w:rsidRPr="00967351">
        <w:rPr>
          <w:sz w:val="22"/>
          <w:szCs w:val="22"/>
          <w:lang w:val="en-GB"/>
        </w:rPr>
        <w:t xml:space="preserve">roughly speaking, </w:t>
      </w:r>
      <w:r w:rsidR="00BB34DC">
        <w:rPr>
          <w:sz w:val="22"/>
          <w:szCs w:val="22"/>
          <w:lang w:val="en-GB"/>
        </w:rPr>
        <w:t xml:space="preserve">the </w:t>
      </w:r>
      <w:r w:rsidRPr="00967351">
        <w:rPr>
          <w:sz w:val="22"/>
          <w:szCs w:val="22"/>
          <w:lang w:val="en-GB"/>
        </w:rPr>
        <w:t xml:space="preserve">combination of theoretical and practical knowledge required to manage the </w:t>
      </w:r>
      <w:r w:rsidR="007B2387" w:rsidRPr="00967351">
        <w:rPr>
          <w:sz w:val="22"/>
          <w:szCs w:val="22"/>
          <w:lang w:val="en-GB"/>
        </w:rPr>
        <w:t>business with a view to generating</w:t>
      </w:r>
      <w:r w:rsidRPr="00967351">
        <w:rPr>
          <w:sz w:val="22"/>
          <w:szCs w:val="22"/>
          <w:lang w:val="en-GB"/>
        </w:rPr>
        <w:t xml:space="preserve"> value.</w:t>
      </w:r>
      <w:r w:rsidRPr="00967351">
        <w:rPr>
          <w:rStyle w:val="FootnoteReference"/>
          <w:rFonts w:ascii="Times New Roman" w:hAnsi="Times New Roman"/>
          <w:sz w:val="22"/>
          <w:szCs w:val="22"/>
          <w:lang w:val="en-GB"/>
        </w:rPr>
        <w:footnoteReference w:id="60"/>
      </w:r>
      <w:r w:rsidR="00A14EBB">
        <w:rPr>
          <w:sz w:val="22"/>
          <w:szCs w:val="22"/>
          <w:lang w:val="en-GB"/>
        </w:rPr>
        <w:t xml:space="preserve"> Managerial skills can be non-</w:t>
      </w:r>
      <w:r w:rsidR="00A14EBB">
        <w:rPr>
          <w:sz w:val="22"/>
          <w:szCs w:val="22"/>
          <w:lang w:val="en-GB"/>
        </w:rPr>
        <w:lastRenderedPageBreak/>
        <w:t xml:space="preserve">fungible: </w:t>
      </w:r>
      <w:r w:rsidR="00030CC5">
        <w:rPr>
          <w:sz w:val="22"/>
          <w:szCs w:val="22"/>
          <w:lang w:val="en-GB"/>
        </w:rPr>
        <w:t xml:space="preserve">that is, </w:t>
      </w:r>
      <w:r w:rsidR="00A14EBB">
        <w:rPr>
          <w:sz w:val="22"/>
          <w:szCs w:val="22"/>
          <w:lang w:val="en-GB"/>
        </w:rPr>
        <w:t xml:space="preserve">they </w:t>
      </w:r>
      <w:r w:rsidR="00030CC5">
        <w:rPr>
          <w:sz w:val="22"/>
          <w:szCs w:val="22"/>
          <w:lang w:val="en-GB"/>
        </w:rPr>
        <w:t xml:space="preserve">can </w:t>
      </w:r>
      <w:r w:rsidR="00A14EBB">
        <w:rPr>
          <w:sz w:val="22"/>
          <w:szCs w:val="22"/>
          <w:lang w:val="en-GB"/>
        </w:rPr>
        <w:t xml:space="preserve">reside with </w:t>
      </w:r>
      <w:r w:rsidR="00030CC5">
        <w:rPr>
          <w:sz w:val="22"/>
          <w:szCs w:val="22"/>
          <w:lang w:val="en-GB"/>
        </w:rPr>
        <w:t xml:space="preserve">the </w:t>
      </w:r>
      <w:r w:rsidR="00A14EBB">
        <w:rPr>
          <w:sz w:val="22"/>
          <w:szCs w:val="22"/>
          <w:lang w:val="en-GB"/>
        </w:rPr>
        <w:t>deadlocked shareholder</w:t>
      </w:r>
      <w:r w:rsidR="00030CC5">
        <w:rPr>
          <w:sz w:val="22"/>
          <w:szCs w:val="22"/>
          <w:lang w:val="en-GB"/>
        </w:rPr>
        <w:t>s</w:t>
      </w:r>
      <w:r w:rsidR="00A14EBB">
        <w:rPr>
          <w:sz w:val="22"/>
          <w:szCs w:val="22"/>
          <w:lang w:val="en-GB"/>
        </w:rPr>
        <w:t>, whom no professional manager can</w:t>
      </w:r>
      <w:r w:rsidR="00030CC5">
        <w:rPr>
          <w:sz w:val="22"/>
          <w:szCs w:val="22"/>
          <w:lang w:val="en-GB"/>
        </w:rPr>
        <w:t xml:space="preserve"> therefore</w:t>
      </w:r>
      <w:r w:rsidR="00A14EBB">
        <w:rPr>
          <w:sz w:val="22"/>
          <w:szCs w:val="22"/>
          <w:lang w:val="en-GB"/>
        </w:rPr>
        <w:t xml:space="preserve"> replace.</w:t>
      </w:r>
    </w:p>
    <w:p w14:paraId="0AA12532" w14:textId="5749E2E2" w:rsidR="005C4935" w:rsidRPr="007B2387" w:rsidRDefault="00BB34DC" w:rsidP="005C4935">
      <w:pPr>
        <w:ind w:firstLine="567"/>
        <w:jc w:val="both"/>
        <w:rPr>
          <w:sz w:val="22"/>
          <w:szCs w:val="22"/>
          <w:lang w:val="en-GB"/>
        </w:rPr>
      </w:pPr>
      <w:r w:rsidRPr="007B2387">
        <w:rPr>
          <w:sz w:val="22"/>
          <w:szCs w:val="22"/>
          <w:lang w:val="en-GB"/>
        </w:rPr>
        <w:t xml:space="preserve">Managerial unevenness </w:t>
      </w:r>
      <w:r w:rsidR="005C4935" w:rsidRPr="007B2387">
        <w:rPr>
          <w:sz w:val="22"/>
          <w:szCs w:val="22"/>
          <w:lang w:val="en-GB"/>
        </w:rPr>
        <w:t xml:space="preserve">can stem out from a variety of causes. </w:t>
      </w:r>
      <w:r>
        <w:rPr>
          <w:sz w:val="22"/>
          <w:szCs w:val="22"/>
          <w:lang w:val="en-GB"/>
        </w:rPr>
        <w:t xml:space="preserve">It </w:t>
      </w:r>
      <w:r w:rsidR="005C4935" w:rsidRPr="007B2387">
        <w:rPr>
          <w:sz w:val="22"/>
          <w:szCs w:val="22"/>
          <w:lang w:val="en-GB"/>
        </w:rPr>
        <w:t xml:space="preserve">can be a function of the differences in education or working experience between the deadlocked shareholders. </w:t>
      </w:r>
      <w:r w:rsidR="00CE6F36">
        <w:rPr>
          <w:sz w:val="22"/>
          <w:szCs w:val="22"/>
          <w:lang w:val="en-GB"/>
        </w:rPr>
        <w:t xml:space="preserve">A </w:t>
      </w:r>
      <w:r w:rsidR="005C4935" w:rsidRPr="007B2387">
        <w:rPr>
          <w:sz w:val="22"/>
          <w:szCs w:val="22"/>
          <w:lang w:val="en-GB"/>
        </w:rPr>
        <w:t xml:space="preserve">deadlocked shareholder </w:t>
      </w:r>
      <w:r w:rsidR="00CE6F36">
        <w:rPr>
          <w:sz w:val="22"/>
          <w:szCs w:val="22"/>
          <w:lang w:val="en-GB"/>
        </w:rPr>
        <w:t xml:space="preserve">who </w:t>
      </w:r>
      <w:r w:rsidR="005C4935" w:rsidRPr="007B2387">
        <w:rPr>
          <w:sz w:val="22"/>
          <w:szCs w:val="22"/>
          <w:lang w:val="en-GB"/>
        </w:rPr>
        <w:t>ha</w:t>
      </w:r>
      <w:r w:rsidR="001849CE" w:rsidRPr="007B2387">
        <w:rPr>
          <w:sz w:val="22"/>
          <w:szCs w:val="22"/>
          <w:lang w:val="en-GB"/>
        </w:rPr>
        <w:t>s</w:t>
      </w:r>
      <w:r w:rsidR="005C4935" w:rsidRPr="007B2387">
        <w:rPr>
          <w:sz w:val="22"/>
          <w:szCs w:val="22"/>
          <w:lang w:val="en-GB"/>
        </w:rPr>
        <w:t xml:space="preserve"> undertaken management studies or had already run other firms</w:t>
      </w:r>
      <w:r w:rsidR="00CE6F36">
        <w:rPr>
          <w:sz w:val="22"/>
          <w:szCs w:val="22"/>
          <w:lang w:val="en-GB"/>
        </w:rPr>
        <w:t xml:space="preserve"> is plausibly managerially more skilled than </w:t>
      </w:r>
      <w:r w:rsidR="005C4935" w:rsidRPr="007B2387">
        <w:rPr>
          <w:sz w:val="22"/>
          <w:szCs w:val="22"/>
          <w:lang w:val="en-GB"/>
        </w:rPr>
        <w:t xml:space="preserve">the other deadlocked shareholder </w:t>
      </w:r>
      <w:r w:rsidR="00CE6F36">
        <w:rPr>
          <w:sz w:val="22"/>
          <w:szCs w:val="22"/>
          <w:lang w:val="en-GB"/>
        </w:rPr>
        <w:t xml:space="preserve">who </w:t>
      </w:r>
      <w:r w:rsidR="001849CE" w:rsidRPr="007B2387">
        <w:rPr>
          <w:sz w:val="22"/>
          <w:szCs w:val="22"/>
          <w:lang w:val="en-GB"/>
        </w:rPr>
        <w:t xml:space="preserve">has </w:t>
      </w:r>
      <w:r w:rsidR="005C4935" w:rsidRPr="007B2387">
        <w:rPr>
          <w:sz w:val="22"/>
          <w:szCs w:val="22"/>
          <w:lang w:val="en-GB"/>
        </w:rPr>
        <w:t>studied</w:t>
      </w:r>
      <w:r w:rsidR="001849CE" w:rsidRPr="007B2387">
        <w:rPr>
          <w:sz w:val="22"/>
          <w:szCs w:val="22"/>
          <w:lang w:val="en-GB"/>
        </w:rPr>
        <w:t>, for instance,</w:t>
      </w:r>
      <w:r w:rsidR="005C4935" w:rsidRPr="007B2387">
        <w:rPr>
          <w:sz w:val="22"/>
          <w:szCs w:val="22"/>
          <w:lang w:val="en-GB"/>
        </w:rPr>
        <w:t xml:space="preserve"> biochemistry and has never been involved in any capacity in the management of businesses of any sort</w:t>
      </w:r>
      <w:r w:rsidR="001849CE" w:rsidRPr="007B2387">
        <w:rPr>
          <w:sz w:val="22"/>
          <w:szCs w:val="22"/>
          <w:lang w:val="en-GB"/>
        </w:rPr>
        <w:t xml:space="preserve">. </w:t>
      </w:r>
      <w:r>
        <w:rPr>
          <w:sz w:val="22"/>
          <w:szCs w:val="22"/>
          <w:lang w:val="en-GB"/>
        </w:rPr>
        <w:t>R</w:t>
      </w:r>
      <w:r w:rsidR="005C4935" w:rsidRPr="007B2387">
        <w:rPr>
          <w:sz w:val="22"/>
          <w:szCs w:val="22"/>
          <w:lang w:val="en-GB"/>
        </w:rPr>
        <w:t xml:space="preserve">ole allocation within the firm </w:t>
      </w:r>
      <w:r w:rsidR="001D7E90">
        <w:rPr>
          <w:sz w:val="22"/>
          <w:szCs w:val="22"/>
          <w:lang w:val="en-GB"/>
        </w:rPr>
        <w:t>matters, too</w:t>
      </w:r>
      <w:r w:rsidR="005C4935" w:rsidRPr="007B2387">
        <w:rPr>
          <w:sz w:val="22"/>
          <w:szCs w:val="22"/>
          <w:lang w:val="en-GB"/>
        </w:rPr>
        <w:t>. Being in charge of the “on-the-field” strategic management of the firm requires, as well as leading to the development of</w:t>
      </w:r>
      <w:r w:rsidR="001D7E90">
        <w:rPr>
          <w:sz w:val="22"/>
          <w:szCs w:val="22"/>
          <w:lang w:val="en-GB"/>
        </w:rPr>
        <w:t>,</w:t>
      </w:r>
      <w:r w:rsidR="001849CE" w:rsidRPr="007B2387">
        <w:rPr>
          <w:sz w:val="22"/>
          <w:szCs w:val="22"/>
          <w:lang w:val="en-GB"/>
        </w:rPr>
        <w:t xml:space="preserve"> </w:t>
      </w:r>
      <w:r w:rsidR="005C4935" w:rsidRPr="007B2387">
        <w:rPr>
          <w:sz w:val="22"/>
          <w:szCs w:val="22"/>
          <w:lang w:val="en-GB"/>
        </w:rPr>
        <w:t xml:space="preserve">managerial skills that the shareholder responsible for the front- and back-office functions of the firm, very much </w:t>
      </w:r>
      <w:r w:rsidR="001D7E90">
        <w:rPr>
          <w:sz w:val="22"/>
          <w:szCs w:val="22"/>
          <w:lang w:val="en-GB"/>
        </w:rPr>
        <w:t xml:space="preserve">like </w:t>
      </w:r>
      <w:r w:rsidR="005C4935" w:rsidRPr="007B2387">
        <w:rPr>
          <w:sz w:val="22"/>
          <w:szCs w:val="22"/>
          <w:lang w:val="en-GB"/>
        </w:rPr>
        <w:t xml:space="preserve">the shareholder who serves as mere capital provider, does likely neither need to have nor </w:t>
      </w:r>
      <w:r w:rsidR="001849CE" w:rsidRPr="007B2387">
        <w:rPr>
          <w:sz w:val="22"/>
          <w:szCs w:val="22"/>
          <w:lang w:val="en-GB"/>
        </w:rPr>
        <w:t xml:space="preserve">can </w:t>
      </w:r>
      <w:r w:rsidR="005C4935" w:rsidRPr="007B2387">
        <w:rPr>
          <w:sz w:val="22"/>
          <w:szCs w:val="22"/>
          <w:lang w:val="en-GB"/>
        </w:rPr>
        <w:t xml:space="preserve">learn by doing, instead. </w:t>
      </w:r>
    </w:p>
    <w:p w14:paraId="631C9693" w14:textId="1E55FB4B" w:rsidR="005C4935" w:rsidRPr="007B2387" w:rsidRDefault="005C4935" w:rsidP="005C4935">
      <w:pPr>
        <w:ind w:firstLine="567"/>
        <w:jc w:val="both"/>
        <w:rPr>
          <w:sz w:val="22"/>
          <w:szCs w:val="22"/>
          <w:lang w:val="en-GB"/>
        </w:rPr>
      </w:pPr>
      <w:r w:rsidRPr="007B2387">
        <w:rPr>
          <w:sz w:val="22"/>
          <w:szCs w:val="22"/>
          <w:lang w:val="en-GB"/>
        </w:rPr>
        <w:t xml:space="preserve">Differences in </w:t>
      </w:r>
      <w:r w:rsidR="00BB34DC">
        <w:rPr>
          <w:sz w:val="22"/>
          <w:szCs w:val="22"/>
          <w:lang w:val="en-GB"/>
        </w:rPr>
        <w:t xml:space="preserve">terms of </w:t>
      </w:r>
      <w:r w:rsidRPr="007B2387">
        <w:rPr>
          <w:sz w:val="22"/>
          <w:szCs w:val="22"/>
          <w:lang w:val="en-GB"/>
        </w:rPr>
        <w:t xml:space="preserve">managerial skills </w:t>
      </w:r>
      <w:r w:rsidR="00BB34DC">
        <w:rPr>
          <w:sz w:val="22"/>
          <w:szCs w:val="22"/>
          <w:lang w:val="en-GB"/>
        </w:rPr>
        <w:t xml:space="preserve">between the deadlocked shareholders </w:t>
      </w:r>
      <w:r w:rsidRPr="007B2387">
        <w:rPr>
          <w:sz w:val="22"/>
          <w:szCs w:val="22"/>
          <w:lang w:val="en-GB"/>
        </w:rPr>
        <w:t xml:space="preserve">imply that, despite the identity of the overall assets under management, the deadlocked firm would be more valuable under the management of the managerially more skilled shareholder than under the management of the managerially less skilled deadlocked shareholder. This does in turn lead to a situation in which, </w:t>
      </w:r>
      <w:r w:rsidR="001849CE" w:rsidRPr="007B2387">
        <w:rPr>
          <w:sz w:val="22"/>
          <w:szCs w:val="22"/>
          <w:lang w:val="en-GB"/>
        </w:rPr>
        <w:t xml:space="preserve">although coming to the same estimate as to </w:t>
      </w:r>
      <w:r w:rsidRPr="007B2387">
        <w:rPr>
          <w:sz w:val="22"/>
          <w:szCs w:val="22"/>
          <w:lang w:val="en-GB"/>
        </w:rPr>
        <w:t xml:space="preserve">DFV, the </w:t>
      </w:r>
      <w:r w:rsidR="001849CE" w:rsidRPr="007B2387">
        <w:rPr>
          <w:sz w:val="22"/>
          <w:szCs w:val="22"/>
          <w:lang w:val="en-GB"/>
        </w:rPr>
        <w:t xml:space="preserve">deadlocked </w:t>
      </w:r>
      <w:r w:rsidRPr="007B2387">
        <w:rPr>
          <w:sz w:val="22"/>
          <w:szCs w:val="22"/>
          <w:lang w:val="en-GB"/>
        </w:rPr>
        <w:t>shareholder</w:t>
      </w:r>
      <w:r w:rsidR="001849CE" w:rsidRPr="007B2387">
        <w:rPr>
          <w:sz w:val="22"/>
          <w:szCs w:val="22"/>
          <w:lang w:val="en-GB"/>
        </w:rPr>
        <w:t>s</w:t>
      </w:r>
      <w:r w:rsidRPr="007B2387">
        <w:rPr>
          <w:sz w:val="22"/>
          <w:szCs w:val="22"/>
          <w:lang w:val="en-GB"/>
        </w:rPr>
        <w:t xml:space="preserve"> </w:t>
      </w:r>
      <w:r w:rsidR="001D7E90">
        <w:rPr>
          <w:sz w:val="22"/>
          <w:szCs w:val="22"/>
          <w:lang w:val="en-GB"/>
        </w:rPr>
        <w:t xml:space="preserve">come to </w:t>
      </w:r>
      <w:r w:rsidR="001D7E90" w:rsidRPr="007B2387">
        <w:rPr>
          <w:sz w:val="22"/>
          <w:szCs w:val="22"/>
          <w:lang w:val="en-GB"/>
        </w:rPr>
        <w:t xml:space="preserve">different estimates as to post-deadlock firm value. </w:t>
      </w:r>
      <w:r w:rsidR="001D7E90">
        <w:rPr>
          <w:sz w:val="22"/>
          <w:szCs w:val="22"/>
          <w:lang w:val="en-GB"/>
        </w:rPr>
        <w:t>T</w:t>
      </w:r>
      <w:r w:rsidR="001D7E90" w:rsidRPr="007B2387">
        <w:rPr>
          <w:sz w:val="22"/>
          <w:szCs w:val="22"/>
          <w:lang w:val="en-GB"/>
        </w:rPr>
        <w:t xml:space="preserve">he </w:t>
      </w:r>
      <w:r w:rsidR="001D7E90">
        <w:rPr>
          <w:sz w:val="22"/>
          <w:szCs w:val="22"/>
          <w:lang w:val="en-GB"/>
        </w:rPr>
        <w:t xml:space="preserve">managerially more skilled deadlocked </w:t>
      </w:r>
      <w:r w:rsidR="001D7E90" w:rsidRPr="007B2387">
        <w:rPr>
          <w:sz w:val="22"/>
          <w:szCs w:val="22"/>
          <w:lang w:val="en-GB"/>
        </w:rPr>
        <w:t xml:space="preserve">shareholder’s estimate </w:t>
      </w:r>
      <w:r w:rsidR="001D7E90">
        <w:rPr>
          <w:sz w:val="22"/>
          <w:szCs w:val="22"/>
          <w:lang w:val="en-GB"/>
        </w:rPr>
        <w:t xml:space="preserve">would be </w:t>
      </w:r>
      <w:r w:rsidR="001D7E90" w:rsidRPr="007B2387">
        <w:rPr>
          <w:sz w:val="22"/>
          <w:szCs w:val="22"/>
          <w:lang w:val="en-GB"/>
        </w:rPr>
        <w:t>PDFV</w:t>
      </w:r>
      <w:r w:rsidR="001D7E90" w:rsidRPr="00540C54">
        <w:rPr>
          <w:sz w:val="22"/>
          <w:szCs w:val="22"/>
          <w:vertAlign w:val="subscript"/>
          <w:lang w:val="en-GB"/>
        </w:rPr>
        <w:t>1</w:t>
      </w:r>
      <w:r w:rsidR="001D7E90" w:rsidRPr="007B2387">
        <w:rPr>
          <w:sz w:val="22"/>
          <w:szCs w:val="22"/>
          <w:lang w:val="en-GB"/>
        </w:rPr>
        <w:t xml:space="preserve"> </w:t>
      </w:r>
      <w:r w:rsidR="001D7E90">
        <w:rPr>
          <w:sz w:val="22"/>
          <w:szCs w:val="22"/>
          <w:lang w:val="en-GB"/>
        </w:rPr>
        <w:t xml:space="preserve">and the managerially less skilled deadlocked </w:t>
      </w:r>
      <w:r w:rsidR="001D7E90" w:rsidRPr="007B2387">
        <w:rPr>
          <w:sz w:val="22"/>
          <w:szCs w:val="22"/>
          <w:lang w:val="en-GB"/>
        </w:rPr>
        <w:t>shareholder’s estimate PDFV</w:t>
      </w:r>
      <w:r w:rsidR="001D7E90" w:rsidRPr="00540C54">
        <w:rPr>
          <w:sz w:val="22"/>
          <w:szCs w:val="22"/>
          <w:vertAlign w:val="subscript"/>
          <w:lang w:val="en-GB"/>
        </w:rPr>
        <w:t>2</w:t>
      </w:r>
      <w:r w:rsidR="001D7E90" w:rsidRPr="007B2387">
        <w:rPr>
          <w:sz w:val="22"/>
          <w:szCs w:val="22"/>
          <w:lang w:val="en-GB"/>
        </w:rPr>
        <w:t>, such that PDFV</w:t>
      </w:r>
      <w:r w:rsidR="001D7E90" w:rsidRPr="00540C54">
        <w:rPr>
          <w:sz w:val="22"/>
          <w:szCs w:val="22"/>
          <w:vertAlign w:val="subscript"/>
          <w:lang w:val="en-GB"/>
        </w:rPr>
        <w:t>1</w:t>
      </w:r>
      <w:r w:rsidR="001D7E90" w:rsidRPr="007B2387">
        <w:rPr>
          <w:sz w:val="22"/>
          <w:szCs w:val="22"/>
          <w:lang w:val="en-GB"/>
        </w:rPr>
        <w:t>&gt;PDFV</w:t>
      </w:r>
      <w:r w:rsidR="001D7E90" w:rsidRPr="00540C54">
        <w:rPr>
          <w:sz w:val="22"/>
          <w:szCs w:val="22"/>
          <w:vertAlign w:val="subscript"/>
          <w:lang w:val="en-GB"/>
        </w:rPr>
        <w:t>2</w:t>
      </w:r>
      <w:r w:rsidRPr="007B2387">
        <w:rPr>
          <w:sz w:val="22"/>
          <w:szCs w:val="22"/>
          <w:lang w:val="en-GB"/>
        </w:rPr>
        <w:t xml:space="preserve">. </w:t>
      </w:r>
      <w:bookmarkStart w:id="38" w:name="_GoBack"/>
      <w:bookmarkEnd w:id="38"/>
    </w:p>
    <w:p w14:paraId="5AC97412" w14:textId="4E803FEF" w:rsidR="005C4935" w:rsidRPr="005C4935" w:rsidRDefault="001D7E90" w:rsidP="005C4935">
      <w:pPr>
        <w:ind w:firstLine="567"/>
        <w:jc w:val="both"/>
        <w:rPr>
          <w:sz w:val="22"/>
          <w:szCs w:val="22"/>
          <w:highlight w:val="yellow"/>
          <w:lang w:val="en-GB"/>
        </w:rPr>
      </w:pPr>
      <w:r>
        <w:rPr>
          <w:sz w:val="22"/>
          <w:szCs w:val="22"/>
          <w:lang w:val="en-GB"/>
        </w:rPr>
        <w:t xml:space="preserve">More in detail, the situation may come into existence in which </w:t>
      </w:r>
      <w:r w:rsidR="00CB33EF">
        <w:rPr>
          <w:sz w:val="22"/>
          <w:szCs w:val="22"/>
          <w:lang w:val="en-GB"/>
        </w:rPr>
        <w:t>b</w:t>
      </w:r>
      <w:r w:rsidR="001849CE" w:rsidRPr="007B2387">
        <w:rPr>
          <w:sz w:val="22"/>
          <w:szCs w:val="22"/>
          <w:lang w:val="en-GB"/>
        </w:rPr>
        <w:t xml:space="preserve">oth the deadlocked shareholders </w:t>
      </w:r>
      <w:r w:rsidR="005C4935" w:rsidRPr="007B2387">
        <w:rPr>
          <w:sz w:val="22"/>
          <w:szCs w:val="22"/>
          <w:lang w:val="en-GB"/>
        </w:rPr>
        <w:t xml:space="preserve">know as to the existence of an imbalance as to </w:t>
      </w:r>
      <w:r w:rsidR="001849CE" w:rsidRPr="007B2387">
        <w:rPr>
          <w:sz w:val="22"/>
          <w:szCs w:val="22"/>
          <w:lang w:val="en-GB"/>
        </w:rPr>
        <w:t>managerial skills.</w:t>
      </w:r>
      <w:r w:rsidR="005C4935" w:rsidRPr="007B2387">
        <w:rPr>
          <w:sz w:val="22"/>
          <w:szCs w:val="22"/>
          <w:lang w:val="en-GB"/>
        </w:rPr>
        <w:t xml:space="preserve"> </w:t>
      </w:r>
      <w:r w:rsidR="001849CE" w:rsidRPr="007B2387">
        <w:rPr>
          <w:sz w:val="22"/>
          <w:szCs w:val="22"/>
          <w:lang w:val="en-GB"/>
        </w:rPr>
        <w:t>E</w:t>
      </w:r>
      <w:r w:rsidR="005C4935" w:rsidRPr="007B2387">
        <w:rPr>
          <w:sz w:val="22"/>
          <w:szCs w:val="22"/>
          <w:lang w:val="en-GB"/>
        </w:rPr>
        <w:t xml:space="preserve">ither deadlocked shareholder </w:t>
      </w:r>
      <w:r w:rsidR="001849CE" w:rsidRPr="007B2387">
        <w:rPr>
          <w:sz w:val="22"/>
          <w:szCs w:val="22"/>
          <w:lang w:val="en-GB"/>
        </w:rPr>
        <w:t xml:space="preserve">is accordingly </w:t>
      </w:r>
      <w:r w:rsidR="005C4935" w:rsidRPr="007B2387">
        <w:rPr>
          <w:sz w:val="22"/>
          <w:szCs w:val="22"/>
          <w:lang w:val="en-GB"/>
        </w:rPr>
        <w:t>able to define roughly and yet reliably the magnitude of the additional fraction of value</w:t>
      </w:r>
      <w:r w:rsidR="0030799D">
        <w:rPr>
          <w:sz w:val="22"/>
          <w:szCs w:val="22"/>
          <w:lang w:val="en-GB"/>
        </w:rPr>
        <w:t xml:space="preserve"> </w:t>
      </w:r>
      <w:r w:rsidR="005C4935" w:rsidRPr="007B2387">
        <w:rPr>
          <w:sz w:val="22"/>
          <w:szCs w:val="22"/>
          <w:lang w:val="en-GB"/>
        </w:rPr>
        <w:t>that the other deadlocked shareholder would generate in a post-deadlock scenario</w:t>
      </w:r>
      <w:r w:rsidR="001849CE" w:rsidRPr="007B2387">
        <w:rPr>
          <w:sz w:val="22"/>
          <w:szCs w:val="22"/>
          <w:lang w:val="en-GB"/>
        </w:rPr>
        <w:t xml:space="preserve"> and, hence, approximate </w:t>
      </w:r>
      <w:r w:rsidR="00C27A39">
        <w:rPr>
          <w:sz w:val="22"/>
          <w:szCs w:val="22"/>
          <w:lang w:val="en-GB"/>
        </w:rPr>
        <w:t xml:space="preserve">the other deadlocked shareholder’s estimate as to </w:t>
      </w:r>
      <w:r w:rsidR="001849CE" w:rsidRPr="007B2387">
        <w:rPr>
          <w:sz w:val="22"/>
          <w:szCs w:val="22"/>
          <w:lang w:val="en-GB"/>
        </w:rPr>
        <w:t>post-deadlock firm value</w:t>
      </w:r>
      <w:r w:rsidR="005C4935" w:rsidRPr="007B2387">
        <w:rPr>
          <w:sz w:val="22"/>
          <w:szCs w:val="22"/>
          <w:lang w:val="en-GB"/>
        </w:rPr>
        <w:t xml:space="preserve">. </w:t>
      </w:r>
    </w:p>
    <w:p w14:paraId="21A7C96B" w14:textId="15188513" w:rsidR="00BA722F" w:rsidRDefault="00A14EBB" w:rsidP="00C27A39">
      <w:pPr>
        <w:ind w:firstLine="567"/>
        <w:jc w:val="both"/>
        <w:rPr>
          <w:sz w:val="22"/>
          <w:szCs w:val="22"/>
          <w:lang w:val="en-GB"/>
        </w:rPr>
      </w:pPr>
      <w:r>
        <w:rPr>
          <w:sz w:val="22"/>
          <w:szCs w:val="22"/>
          <w:lang w:val="en-GB"/>
        </w:rPr>
        <w:t>Here again, t</w:t>
      </w:r>
      <w:r w:rsidR="00C27A39">
        <w:rPr>
          <w:sz w:val="22"/>
          <w:szCs w:val="22"/>
          <w:lang w:val="en-GB"/>
        </w:rPr>
        <w:t xml:space="preserve">he lowest price </w:t>
      </w:r>
      <w:r w:rsidR="00D961F9">
        <w:rPr>
          <w:sz w:val="22"/>
          <w:szCs w:val="22"/>
          <w:lang w:val="en-GB"/>
        </w:rPr>
        <w:t>L</w:t>
      </w:r>
      <w:r w:rsidR="00D961F9" w:rsidRPr="00336C11">
        <w:rPr>
          <w:sz w:val="22"/>
          <w:szCs w:val="22"/>
          <w:lang w:val="en-GB"/>
        </w:rPr>
        <w:t>P</w:t>
      </w:r>
      <w:r w:rsidR="00D961F9" w:rsidRPr="00336C11">
        <w:rPr>
          <w:sz w:val="22"/>
          <w:szCs w:val="22"/>
          <w:vertAlign w:val="subscript"/>
          <w:lang w:val="en-GB"/>
        </w:rPr>
        <w:t>1</w:t>
      </w:r>
      <w:r w:rsidR="00D961F9">
        <w:rPr>
          <w:sz w:val="22"/>
          <w:szCs w:val="22"/>
          <w:vertAlign w:val="subscript"/>
          <w:lang w:val="en-GB"/>
        </w:rPr>
        <w:t xml:space="preserve"> </w:t>
      </w:r>
      <w:r w:rsidR="00D961F9">
        <w:rPr>
          <w:sz w:val="22"/>
          <w:szCs w:val="22"/>
          <w:lang w:val="en-GB"/>
        </w:rPr>
        <w:t>and L</w:t>
      </w:r>
      <w:r w:rsidR="00D961F9" w:rsidRPr="00336C11">
        <w:rPr>
          <w:sz w:val="22"/>
          <w:szCs w:val="22"/>
          <w:lang w:val="en-GB"/>
        </w:rPr>
        <w:t>P</w:t>
      </w:r>
      <w:r w:rsidR="00D961F9" w:rsidRPr="00336C11">
        <w:rPr>
          <w:sz w:val="22"/>
          <w:szCs w:val="22"/>
          <w:vertAlign w:val="subscript"/>
          <w:lang w:val="en-GB"/>
        </w:rPr>
        <w:t>2</w:t>
      </w:r>
      <w:r w:rsidR="00D961F9">
        <w:rPr>
          <w:sz w:val="22"/>
          <w:szCs w:val="22"/>
          <w:lang w:val="en-GB"/>
        </w:rPr>
        <w:t xml:space="preserve"> </w:t>
      </w:r>
      <w:r w:rsidR="00C01681">
        <w:rPr>
          <w:sz w:val="22"/>
          <w:szCs w:val="22"/>
          <w:lang w:val="en-GB"/>
        </w:rPr>
        <w:t xml:space="preserve">that </w:t>
      </w:r>
      <w:r w:rsidR="001D7E90">
        <w:rPr>
          <w:sz w:val="22"/>
          <w:szCs w:val="22"/>
          <w:lang w:val="en-GB"/>
        </w:rPr>
        <w:t xml:space="preserve">either </w:t>
      </w:r>
      <w:r w:rsidR="00C27A39">
        <w:rPr>
          <w:sz w:val="22"/>
          <w:szCs w:val="22"/>
          <w:lang w:val="en-GB"/>
        </w:rPr>
        <w:t xml:space="preserve">deadlocked shareholder would accept to sell </w:t>
      </w:r>
      <w:r w:rsidR="001D7E90">
        <w:rPr>
          <w:sz w:val="22"/>
          <w:szCs w:val="22"/>
          <w:lang w:val="en-GB"/>
        </w:rPr>
        <w:t xml:space="preserve">his </w:t>
      </w:r>
      <w:r w:rsidR="00C27A39">
        <w:rPr>
          <w:sz w:val="22"/>
          <w:szCs w:val="22"/>
          <w:lang w:val="en-GB"/>
        </w:rPr>
        <w:t xml:space="preserve">shareholding is equal to </w:t>
      </w:r>
      <w:r w:rsidR="00455547">
        <w:rPr>
          <w:sz w:val="22"/>
          <w:szCs w:val="22"/>
          <w:lang w:val="en-GB"/>
        </w:rPr>
        <w:t xml:space="preserve">his </w:t>
      </w:r>
      <w:r w:rsidR="00C27A39">
        <w:rPr>
          <w:sz w:val="22"/>
          <w:szCs w:val="22"/>
          <w:lang w:val="en-GB"/>
        </w:rPr>
        <w:t xml:space="preserve">outside option plus the inducement required to justify the exchange – that is, </w:t>
      </w:r>
      <w:r w:rsidR="00D961F9">
        <w:rPr>
          <w:sz w:val="22"/>
          <w:szCs w:val="22"/>
          <w:lang w:val="en-GB"/>
        </w:rPr>
        <w:t>LP1</w:t>
      </w:r>
      <w:r w:rsidR="00C27A39">
        <w:rPr>
          <w:sz w:val="22"/>
          <w:szCs w:val="22"/>
          <w:lang w:val="en-GB"/>
        </w:rPr>
        <w:t>=</w:t>
      </w:r>
      <w:r w:rsidR="00D961F9">
        <w:rPr>
          <w:sz w:val="22"/>
          <w:szCs w:val="22"/>
          <w:lang w:val="en-GB"/>
        </w:rPr>
        <w:t>LP2</w:t>
      </w:r>
      <w:r w:rsidR="00C27A39">
        <w:rPr>
          <w:sz w:val="22"/>
          <w:szCs w:val="22"/>
          <w:lang w:val="en-GB"/>
        </w:rPr>
        <w:t xml:space="preserve">=DFV/2+X. The highest price </w:t>
      </w:r>
      <w:r w:rsidR="00017BFC">
        <w:rPr>
          <w:sz w:val="22"/>
          <w:szCs w:val="22"/>
          <w:lang w:val="en-GB"/>
        </w:rPr>
        <w:t>HP</w:t>
      </w:r>
      <w:r w:rsidR="00017BFC">
        <w:rPr>
          <w:sz w:val="22"/>
          <w:szCs w:val="22"/>
          <w:vertAlign w:val="subscript"/>
          <w:lang w:val="en-GB"/>
        </w:rPr>
        <w:t xml:space="preserve">1 </w:t>
      </w:r>
      <w:r w:rsidR="00C27A39">
        <w:rPr>
          <w:sz w:val="22"/>
          <w:szCs w:val="22"/>
          <w:lang w:val="en-GB"/>
        </w:rPr>
        <w:t xml:space="preserve">that the </w:t>
      </w:r>
      <w:r w:rsidR="00CB33EF">
        <w:rPr>
          <w:sz w:val="22"/>
          <w:szCs w:val="22"/>
          <w:lang w:val="en-GB"/>
        </w:rPr>
        <w:t xml:space="preserve">managerially more skilled </w:t>
      </w:r>
      <w:r w:rsidR="00C27A39">
        <w:rPr>
          <w:sz w:val="22"/>
          <w:szCs w:val="22"/>
          <w:lang w:val="en-GB"/>
        </w:rPr>
        <w:t xml:space="preserve">deadlocked shareholder would pay is equal to the difference between his </w:t>
      </w:r>
      <w:r w:rsidR="00CB33EF">
        <w:rPr>
          <w:sz w:val="22"/>
          <w:szCs w:val="22"/>
          <w:lang w:val="en-GB"/>
        </w:rPr>
        <w:t xml:space="preserve">own </w:t>
      </w:r>
      <w:r w:rsidR="00C27A39">
        <w:rPr>
          <w:sz w:val="22"/>
          <w:szCs w:val="22"/>
          <w:lang w:val="en-GB"/>
        </w:rPr>
        <w:t xml:space="preserve">estimate as to post-deadlock firm value and his outside option minus the inducement that would justify the exchange – that is, </w:t>
      </w:r>
      <w:r w:rsidR="00017BFC">
        <w:rPr>
          <w:sz w:val="22"/>
          <w:szCs w:val="22"/>
          <w:lang w:val="en-GB"/>
        </w:rPr>
        <w:t>HP</w:t>
      </w:r>
      <w:r w:rsidR="00017BFC">
        <w:rPr>
          <w:sz w:val="22"/>
          <w:szCs w:val="22"/>
          <w:vertAlign w:val="subscript"/>
          <w:lang w:val="en-GB"/>
        </w:rPr>
        <w:t>1</w:t>
      </w:r>
      <w:r w:rsidR="00017BFC">
        <w:rPr>
          <w:sz w:val="22"/>
          <w:szCs w:val="22"/>
          <w:lang w:val="en-GB"/>
        </w:rPr>
        <w:t>=</w:t>
      </w:r>
      <w:r w:rsidR="00C27A39">
        <w:rPr>
          <w:sz w:val="22"/>
          <w:szCs w:val="22"/>
          <w:lang w:val="en-GB"/>
        </w:rPr>
        <w:t xml:space="preserve">(PDFV1-DFV/2)-X. The highest price </w:t>
      </w:r>
      <w:r w:rsidR="00017BFC">
        <w:rPr>
          <w:sz w:val="22"/>
          <w:szCs w:val="22"/>
          <w:lang w:val="en-GB"/>
        </w:rPr>
        <w:t>HP</w:t>
      </w:r>
      <w:r w:rsidR="00017BFC" w:rsidRPr="00C1598F">
        <w:rPr>
          <w:sz w:val="22"/>
          <w:szCs w:val="22"/>
          <w:vertAlign w:val="subscript"/>
          <w:lang w:val="en-GB"/>
        </w:rPr>
        <w:t>2</w:t>
      </w:r>
      <w:r w:rsidR="00017BFC">
        <w:rPr>
          <w:sz w:val="22"/>
          <w:szCs w:val="22"/>
          <w:lang w:val="en-GB"/>
        </w:rPr>
        <w:t xml:space="preserve"> </w:t>
      </w:r>
      <w:r w:rsidR="00C27A39">
        <w:rPr>
          <w:sz w:val="22"/>
          <w:szCs w:val="22"/>
          <w:lang w:val="en-GB"/>
        </w:rPr>
        <w:t xml:space="preserve">that the </w:t>
      </w:r>
      <w:r w:rsidR="00CB33EF">
        <w:rPr>
          <w:sz w:val="22"/>
          <w:szCs w:val="22"/>
          <w:lang w:val="en-GB"/>
        </w:rPr>
        <w:t xml:space="preserve">managerially </w:t>
      </w:r>
      <w:r w:rsidR="00C27A39">
        <w:rPr>
          <w:sz w:val="22"/>
          <w:szCs w:val="22"/>
          <w:lang w:val="en-GB"/>
        </w:rPr>
        <w:t xml:space="preserve">less </w:t>
      </w:r>
      <w:r w:rsidR="00CB33EF">
        <w:rPr>
          <w:sz w:val="22"/>
          <w:szCs w:val="22"/>
          <w:lang w:val="en-GB"/>
        </w:rPr>
        <w:t xml:space="preserve">skilled </w:t>
      </w:r>
      <w:r w:rsidR="00C27A39">
        <w:rPr>
          <w:sz w:val="22"/>
          <w:szCs w:val="22"/>
          <w:lang w:val="en-GB"/>
        </w:rPr>
        <w:t xml:space="preserve">deadlocked shareholder would pay is equal to the difference between his </w:t>
      </w:r>
      <w:r w:rsidR="00CB33EF">
        <w:rPr>
          <w:sz w:val="22"/>
          <w:szCs w:val="22"/>
          <w:lang w:val="en-GB"/>
        </w:rPr>
        <w:t xml:space="preserve">own </w:t>
      </w:r>
      <w:r w:rsidR="00C27A39">
        <w:rPr>
          <w:sz w:val="22"/>
          <w:szCs w:val="22"/>
          <w:lang w:val="en-GB"/>
        </w:rPr>
        <w:t xml:space="preserve">estimate as to post-deadlock firm value and his outside option minus the inducement that would justify the exchange – that is, </w:t>
      </w:r>
      <w:r w:rsidR="00017BFC">
        <w:rPr>
          <w:sz w:val="22"/>
          <w:szCs w:val="22"/>
          <w:lang w:val="en-GB"/>
        </w:rPr>
        <w:t>HP</w:t>
      </w:r>
      <w:r w:rsidR="00017BFC" w:rsidRPr="002912A6">
        <w:rPr>
          <w:sz w:val="22"/>
          <w:szCs w:val="22"/>
          <w:vertAlign w:val="subscript"/>
          <w:lang w:val="en-GB"/>
        </w:rPr>
        <w:t>2</w:t>
      </w:r>
      <w:r w:rsidR="00017BFC">
        <w:rPr>
          <w:sz w:val="22"/>
          <w:szCs w:val="22"/>
          <w:lang w:val="en-GB"/>
        </w:rPr>
        <w:t>=</w:t>
      </w:r>
      <w:r w:rsidR="00C27A39">
        <w:rPr>
          <w:sz w:val="22"/>
          <w:szCs w:val="22"/>
          <w:lang w:val="en-GB"/>
        </w:rPr>
        <w:t>(PDFV2-DFV/2)-X.</w:t>
      </w:r>
    </w:p>
    <w:p w14:paraId="74932ECC" w14:textId="1B3CB06F" w:rsidR="001D7E90" w:rsidRDefault="00BB34DC" w:rsidP="00C27A39">
      <w:pPr>
        <w:ind w:firstLine="567"/>
        <w:jc w:val="both"/>
        <w:rPr>
          <w:sz w:val="22"/>
          <w:szCs w:val="22"/>
          <w:lang w:val="en-GB"/>
        </w:rPr>
      </w:pPr>
      <w:r>
        <w:rPr>
          <w:sz w:val="22"/>
          <w:szCs w:val="22"/>
          <w:lang w:val="en-GB"/>
        </w:rPr>
        <w:t xml:space="preserve">The ZoPA here has two ends. One end consists in the deadlocked shareholders’ outside options </w:t>
      </w:r>
      <w:r w:rsidR="00D961F9">
        <w:rPr>
          <w:sz w:val="22"/>
          <w:szCs w:val="22"/>
          <w:lang w:val="en-GB"/>
        </w:rPr>
        <w:t>LP</w:t>
      </w:r>
      <w:r w:rsidR="00D961F9" w:rsidRPr="00C1598F">
        <w:rPr>
          <w:sz w:val="22"/>
          <w:szCs w:val="22"/>
          <w:vertAlign w:val="subscript"/>
          <w:lang w:val="en-GB"/>
        </w:rPr>
        <w:t>1</w:t>
      </w:r>
      <w:r>
        <w:rPr>
          <w:sz w:val="22"/>
          <w:szCs w:val="22"/>
          <w:lang w:val="en-GB"/>
        </w:rPr>
        <w:t>=</w:t>
      </w:r>
      <w:r w:rsidR="00D961F9">
        <w:rPr>
          <w:sz w:val="22"/>
          <w:szCs w:val="22"/>
          <w:lang w:val="en-GB"/>
        </w:rPr>
        <w:t>LP</w:t>
      </w:r>
      <w:r w:rsidR="00D961F9" w:rsidRPr="00C1598F">
        <w:rPr>
          <w:sz w:val="22"/>
          <w:szCs w:val="22"/>
          <w:vertAlign w:val="subscript"/>
          <w:lang w:val="en-GB"/>
        </w:rPr>
        <w:t>2</w:t>
      </w:r>
      <w:r>
        <w:rPr>
          <w:sz w:val="22"/>
          <w:szCs w:val="22"/>
          <w:lang w:val="en-GB"/>
        </w:rPr>
        <w:t xml:space="preserve">=DFV/2 plus the inducement that justifies the exchange. </w:t>
      </w:r>
      <w:r w:rsidR="001D7E90">
        <w:rPr>
          <w:sz w:val="22"/>
          <w:szCs w:val="22"/>
          <w:lang w:val="en-GB"/>
        </w:rPr>
        <w:t>Another end consists in the highest price that the managerially less skilled deadlocked shareholder would pay to the managerially more skilled deadlocked shareholder plus the inducement that would justify the exchange – that is, HP</w:t>
      </w:r>
      <w:r w:rsidR="001D7E90" w:rsidRPr="002912A6">
        <w:rPr>
          <w:sz w:val="22"/>
          <w:szCs w:val="22"/>
          <w:vertAlign w:val="subscript"/>
          <w:lang w:val="en-GB"/>
        </w:rPr>
        <w:t>2</w:t>
      </w:r>
      <w:r w:rsidR="001D7E90">
        <w:rPr>
          <w:sz w:val="22"/>
          <w:szCs w:val="22"/>
          <w:lang w:val="en-GB"/>
        </w:rPr>
        <w:t xml:space="preserve">+X.  </w:t>
      </w:r>
    </w:p>
    <w:p w14:paraId="58551242" w14:textId="24C92244" w:rsidR="001D7E90" w:rsidRDefault="001D7E90" w:rsidP="001D7E90">
      <w:pPr>
        <w:ind w:firstLine="567"/>
        <w:jc w:val="both"/>
        <w:rPr>
          <w:sz w:val="22"/>
          <w:szCs w:val="22"/>
          <w:lang w:val="en-GB"/>
        </w:rPr>
      </w:pPr>
      <w:r>
        <w:rPr>
          <w:sz w:val="22"/>
          <w:szCs w:val="22"/>
          <w:lang w:val="en-GB"/>
        </w:rPr>
        <w:t xml:space="preserve">Here again, extemporary negotiations could lead to setting a buyout price that may sit anywhere on this range. Dynamics analogous to those that can emerge under perfect symmetry can be observable. Given the deadlocked shareholders’ outside options </w:t>
      </w:r>
      <w:r w:rsidR="00D961F9">
        <w:rPr>
          <w:sz w:val="22"/>
          <w:szCs w:val="22"/>
          <w:lang w:val="en-GB"/>
        </w:rPr>
        <w:t>L</w:t>
      </w:r>
      <w:r>
        <w:rPr>
          <w:sz w:val="22"/>
          <w:szCs w:val="22"/>
          <w:lang w:val="en-GB"/>
        </w:rPr>
        <w:t>P</w:t>
      </w:r>
      <w:r w:rsidRPr="002912A6">
        <w:rPr>
          <w:sz w:val="22"/>
          <w:szCs w:val="22"/>
          <w:vertAlign w:val="subscript"/>
          <w:lang w:val="en-GB"/>
        </w:rPr>
        <w:t>1</w:t>
      </w:r>
      <w:r w:rsidRPr="00BB34DC">
        <w:rPr>
          <w:sz w:val="22"/>
          <w:szCs w:val="22"/>
          <w:lang w:val="en-GB"/>
        </w:rPr>
        <w:t>=</w:t>
      </w:r>
      <w:r w:rsidR="00D961F9">
        <w:rPr>
          <w:sz w:val="22"/>
          <w:szCs w:val="22"/>
          <w:lang w:val="en-GB"/>
        </w:rPr>
        <w:t>L</w:t>
      </w:r>
      <w:r>
        <w:rPr>
          <w:sz w:val="22"/>
          <w:szCs w:val="22"/>
          <w:lang w:val="en-GB"/>
        </w:rPr>
        <w:t>P</w:t>
      </w:r>
      <w:r>
        <w:rPr>
          <w:sz w:val="22"/>
          <w:szCs w:val="22"/>
          <w:vertAlign w:val="subscript"/>
          <w:lang w:val="en-GB"/>
        </w:rPr>
        <w:t>2</w:t>
      </w:r>
      <w:r>
        <w:rPr>
          <w:sz w:val="22"/>
          <w:szCs w:val="22"/>
          <w:lang w:val="en-GB"/>
        </w:rPr>
        <w:t xml:space="preserve">=DFV/2, the more </w:t>
      </w:r>
      <w:r w:rsidR="00981D79">
        <w:rPr>
          <w:sz w:val="22"/>
          <w:szCs w:val="22"/>
          <w:lang w:val="en-GB"/>
        </w:rPr>
        <w:t xml:space="preserve">managerially more skilled </w:t>
      </w:r>
      <w:r>
        <w:rPr>
          <w:sz w:val="22"/>
          <w:szCs w:val="22"/>
          <w:lang w:val="en-GB"/>
        </w:rPr>
        <w:t xml:space="preserve">deadlocked shareholder could attempt to buy the </w:t>
      </w:r>
      <w:r w:rsidR="00981D79">
        <w:rPr>
          <w:sz w:val="22"/>
          <w:szCs w:val="22"/>
          <w:lang w:val="en-GB"/>
        </w:rPr>
        <w:t xml:space="preserve">managerially less skilled </w:t>
      </w:r>
      <w:r>
        <w:rPr>
          <w:sz w:val="22"/>
          <w:szCs w:val="22"/>
          <w:lang w:val="en-GB"/>
        </w:rPr>
        <w:t>deadlocked shareholder out for a price P=DFV/2+X,</w:t>
      </w:r>
      <w:r w:rsidRPr="00681787">
        <w:rPr>
          <w:sz w:val="22"/>
          <w:szCs w:val="22"/>
          <w:lang w:val="en-GB"/>
        </w:rPr>
        <w:t xml:space="preserve"> </w:t>
      </w:r>
      <w:r>
        <w:rPr>
          <w:sz w:val="22"/>
          <w:szCs w:val="22"/>
          <w:lang w:val="en-GB"/>
        </w:rPr>
        <w:t>thereby making a win W=PDFV1/2-P. Besides, dynamics analogous to those that can emerge under informal asymmetries can also be observable. As intuitively as obviously, the risk comes in fact into existence that</w:t>
      </w:r>
      <w:r w:rsidR="00D961F9">
        <w:rPr>
          <w:sz w:val="22"/>
          <w:szCs w:val="22"/>
          <w:lang w:val="en-GB"/>
        </w:rPr>
        <w:t xml:space="preserve"> imbalances in managerial skills may disrupt the bargaining equilibrium, so that</w:t>
      </w:r>
      <w:r>
        <w:rPr>
          <w:sz w:val="22"/>
          <w:szCs w:val="22"/>
          <w:lang w:val="en-GB"/>
        </w:rPr>
        <w:t xml:space="preserve"> the managerially more skilled deadlocked shareholder </w:t>
      </w:r>
      <w:r w:rsidR="00981D79">
        <w:rPr>
          <w:sz w:val="22"/>
          <w:szCs w:val="22"/>
          <w:lang w:val="en-GB"/>
        </w:rPr>
        <w:t>c</w:t>
      </w:r>
      <w:r>
        <w:rPr>
          <w:sz w:val="22"/>
          <w:szCs w:val="22"/>
          <w:lang w:val="en-GB"/>
        </w:rPr>
        <w:t>ould buyout the managerially less skilled deadlocked shareholder by offering any price P</w:t>
      </w:r>
      <w:r w:rsidRPr="00AB021C">
        <w:rPr>
          <w:sz w:val="22"/>
          <w:szCs w:val="22"/>
          <w:lang w:val="en-GB"/>
        </w:rPr>
        <w:t>≥</w:t>
      </w:r>
      <w:r>
        <w:rPr>
          <w:sz w:val="22"/>
          <w:szCs w:val="22"/>
          <w:lang w:val="en-GB"/>
        </w:rPr>
        <w:t>(PDFV</w:t>
      </w:r>
      <w:r w:rsidRPr="002912A6">
        <w:rPr>
          <w:sz w:val="22"/>
          <w:szCs w:val="22"/>
          <w:vertAlign w:val="subscript"/>
          <w:lang w:val="en-GB"/>
        </w:rPr>
        <w:t>2</w:t>
      </w:r>
      <w:r>
        <w:rPr>
          <w:sz w:val="22"/>
          <w:szCs w:val="22"/>
          <w:lang w:val="en-GB"/>
        </w:rPr>
        <w:t>-DFV/2), thereby making a win W=PDFV</w:t>
      </w:r>
      <w:r w:rsidRPr="002912A6">
        <w:rPr>
          <w:sz w:val="22"/>
          <w:szCs w:val="22"/>
          <w:vertAlign w:val="subscript"/>
          <w:lang w:val="en-GB"/>
        </w:rPr>
        <w:t>1</w:t>
      </w:r>
      <w:r>
        <w:rPr>
          <w:sz w:val="22"/>
          <w:szCs w:val="22"/>
          <w:lang w:val="en-GB"/>
        </w:rPr>
        <w:t>/2-P.</w:t>
      </w:r>
    </w:p>
    <w:p w14:paraId="74AB96EE" w14:textId="4AF38BD8" w:rsidR="00041778" w:rsidRDefault="001D7E90" w:rsidP="001D7E90">
      <w:pPr>
        <w:ind w:firstLine="567"/>
        <w:jc w:val="both"/>
        <w:rPr>
          <w:sz w:val="22"/>
          <w:szCs w:val="22"/>
          <w:lang w:val="en-US"/>
        </w:rPr>
      </w:pPr>
      <w:r>
        <w:rPr>
          <w:sz w:val="22"/>
          <w:szCs w:val="22"/>
          <w:lang w:val="en-GB"/>
        </w:rPr>
        <w:lastRenderedPageBreak/>
        <w:t xml:space="preserve">To sum up: rather obviously, information asymmetries do not </w:t>
      </w:r>
      <w:r w:rsidR="00981D79">
        <w:rPr>
          <w:sz w:val="22"/>
          <w:szCs w:val="22"/>
          <w:lang w:val="en-GB"/>
        </w:rPr>
        <w:t xml:space="preserve">reduce to any extent the bargaining </w:t>
      </w:r>
      <w:r>
        <w:rPr>
          <w:sz w:val="22"/>
          <w:szCs w:val="22"/>
          <w:lang w:val="en-GB"/>
        </w:rPr>
        <w:t>outcome uncertainty that is observable already under perfect symmetry</w:t>
      </w:r>
      <w:r w:rsidR="00981D79">
        <w:rPr>
          <w:sz w:val="22"/>
          <w:szCs w:val="22"/>
          <w:lang w:val="en-GB"/>
        </w:rPr>
        <w:t xml:space="preserve">; rather, </w:t>
      </w:r>
      <w:r>
        <w:rPr>
          <w:sz w:val="22"/>
          <w:szCs w:val="22"/>
          <w:lang w:val="en-GB"/>
        </w:rPr>
        <w:t xml:space="preserve">they create frictions </w:t>
      </w:r>
      <w:r w:rsidR="00981D79">
        <w:rPr>
          <w:sz w:val="22"/>
          <w:szCs w:val="22"/>
          <w:lang w:val="en-GB"/>
        </w:rPr>
        <w:t xml:space="preserve">in the bargaining environment </w:t>
      </w:r>
      <w:r>
        <w:rPr>
          <w:sz w:val="22"/>
          <w:szCs w:val="22"/>
          <w:lang w:val="en-GB"/>
        </w:rPr>
        <w:t>that may contribute to propitiate unfair buyouts</w:t>
      </w:r>
      <w:r w:rsidR="00041778">
        <w:rPr>
          <w:sz w:val="22"/>
          <w:szCs w:val="22"/>
          <w:lang w:val="en-GB"/>
        </w:rPr>
        <w:t>.</w:t>
      </w:r>
      <w:r w:rsidR="00041778" w:rsidRPr="00041778">
        <w:rPr>
          <w:sz w:val="22"/>
          <w:szCs w:val="22"/>
          <w:lang w:val="en-US"/>
        </w:rPr>
        <w:t xml:space="preserve"> </w:t>
      </w:r>
    </w:p>
    <w:p w14:paraId="52F54D3B" w14:textId="65A528C4" w:rsidR="001116EF" w:rsidRDefault="00041778" w:rsidP="001D7E90">
      <w:pPr>
        <w:ind w:firstLine="567"/>
        <w:jc w:val="both"/>
        <w:rPr>
          <w:sz w:val="22"/>
          <w:szCs w:val="22"/>
          <w:lang w:val="en-GB"/>
        </w:rPr>
      </w:pPr>
      <w:r>
        <w:rPr>
          <w:sz w:val="22"/>
          <w:szCs w:val="22"/>
          <w:lang w:val="en-US"/>
        </w:rPr>
        <w:t xml:space="preserve">Quite importantly, extemporary negotiations result in a voluntary exchange. Accordingly, although the managerially less skilled </w:t>
      </w:r>
      <w:r w:rsidR="005E4FF6">
        <w:rPr>
          <w:sz w:val="22"/>
          <w:szCs w:val="22"/>
          <w:lang w:val="en-US"/>
        </w:rPr>
        <w:t xml:space="preserve">deadlocked </w:t>
      </w:r>
      <w:r>
        <w:rPr>
          <w:sz w:val="22"/>
          <w:szCs w:val="22"/>
          <w:lang w:val="en-US"/>
        </w:rPr>
        <w:t xml:space="preserve">shareholder has intuitive incentives to sell out to the managerially more skilled </w:t>
      </w:r>
      <w:r w:rsidR="005E4FF6">
        <w:rPr>
          <w:sz w:val="22"/>
          <w:szCs w:val="22"/>
          <w:lang w:val="en-US"/>
        </w:rPr>
        <w:t xml:space="preserve">deadlocked </w:t>
      </w:r>
      <w:r>
        <w:rPr>
          <w:sz w:val="22"/>
          <w:szCs w:val="22"/>
          <w:lang w:val="en-US"/>
        </w:rPr>
        <w:t xml:space="preserve">shareholder for any price </w:t>
      </w:r>
      <w:r>
        <w:rPr>
          <w:sz w:val="22"/>
          <w:szCs w:val="22"/>
          <w:lang w:val="en-GB"/>
        </w:rPr>
        <w:t>P</w:t>
      </w:r>
      <w:r w:rsidRPr="00AB021C">
        <w:rPr>
          <w:sz w:val="22"/>
          <w:szCs w:val="22"/>
          <w:lang w:val="en-GB"/>
        </w:rPr>
        <w:t>≥</w:t>
      </w:r>
      <w:r>
        <w:rPr>
          <w:sz w:val="22"/>
          <w:szCs w:val="22"/>
          <w:lang w:val="en-GB"/>
        </w:rPr>
        <w:t>(PDFV</w:t>
      </w:r>
      <w:r w:rsidRPr="002912A6">
        <w:rPr>
          <w:sz w:val="22"/>
          <w:szCs w:val="22"/>
          <w:vertAlign w:val="subscript"/>
          <w:lang w:val="en-GB"/>
        </w:rPr>
        <w:t>2</w:t>
      </w:r>
      <w:r>
        <w:rPr>
          <w:sz w:val="22"/>
          <w:szCs w:val="22"/>
          <w:lang w:val="en-GB"/>
        </w:rPr>
        <w:t xml:space="preserve">-DFV/2), the  </w:t>
      </w:r>
      <w:r>
        <w:rPr>
          <w:sz w:val="22"/>
          <w:szCs w:val="22"/>
          <w:lang w:val="en-US"/>
        </w:rPr>
        <w:t xml:space="preserve">the managerially more skilled </w:t>
      </w:r>
      <w:r w:rsidR="005E4FF6">
        <w:rPr>
          <w:sz w:val="22"/>
          <w:szCs w:val="22"/>
          <w:lang w:val="en-US"/>
        </w:rPr>
        <w:t xml:space="preserve">deadlocked </w:t>
      </w:r>
      <w:r>
        <w:rPr>
          <w:sz w:val="22"/>
          <w:szCs w:val="22"/>
          <w:lang w:val="en-US"/>
        </w:rPr>
        <w:t xml:space="preserve">shareholder cannot “force” in any way the managerially less skilled </w:t>
      </w:r>
      <w:r w:rsidR="005E4FF6">
        <w:rPr>
          <w:sz w:val="22"/>
          <w:szCs w:val="22"/>
          <w:lang w:val="en-US"/>
        </w:rPr>
        <w:t xml:space="preserve">deadlocked </w:t>
      </w:r>
      <w:r>
        <w:rPr>
          <w:sz w:val="22"/>
          <w:szCs w:val="22"/>
          <w:lang w:val="en-US"/>
        </w:rPr>
        <w:t>shareholder to sell for anything less than PDFV1/2</w:t>
      </w:r>
      <w:r w:rsidRPr="00937E61">
        <w:rPr>
          <w:sz w:val="22"/>
          <w:szCs w:val="22"/>
          <w:lang w:val="en-US"/>
        </w:rPr>
        <w:t xml:space="preserve">. </w:t>
      </w:r>
      <w:r>
        <w:rPr>
          <w:sz w:val="22"/>
          <w:szCs w:val="22"/>
          <w:lang w:val="en-US"/>
        </w:rPr>
        <w:t>T</w:t>
      </w:r>
      <w:r w:rsidRPr="00937E61">
        <w:rPr>
          <w:sz w:val="22"/>
          <w:szCs w:val="22"/>
          <w:lang w:val="en-US"/>
        </w:rPr>
        <w:t>he voluntary nature of the exchange constitutes a fundamental</w:t>
      </w:r>
      <w:r w:rsidR="005E4FF6">
        <w:rPr>
          <w:sz w:val="22"/>
          <w:szCs w:val="22"/>
          <w:lang w:val="en-US"/>
        </w:rPr>
        <w:t xml:space="preserve"> </w:t>
      </w:r>
      <w:r w:rsidRPr="00937E61">
        <w:rPr>
          <w:sz w:val="22"/>
          <w:szCs w:val="22"/>
          <w:lang w:val="en-US"/>
        </w:rPr>
        <w:t>line of defense against unfair</w:t>
      </w:r>
      <w:r w:rsidR="005E4FF6">
        <w:rPr>
          <w:sz w:val="22"/>
          <w:szCs w:val="22"/>
          <w:lang w:val="en-US"/>
        </w:rPr>
        <w:t xml:space="preserve"> buyouts</w:t>
      </w:r>
      <w:r w:rsidR="001D7E90">
        <w:rPr>
          <w:sz w:val="22"/>
          <w:szCs w:val="22"/>
          <w:lang w:val="en-GB"/>
        </w:rPr>
        <w:t>.</w:t>
      </w:r>
    </w:p>
    <w:p w14:paraId="7008232B" w14:textId="641EBE2B" w:rsidR="007940A5" w:rsidRPr="00756650" w:rsidRDefault="007940A5" w:rsidP="007940A5">
      <w:pPr>
        <w:pStyle w:val="Heading3"/>
        <w:numPr>
          <w:ilvl w:val="2"/>
          <w:numId w:val="28"/>
        </w:numPr>
        <w:rPr>
          <w:sz w:val="22"/>
          <w:szCs w:val="22"/>
          <w:lang w:val="en-US"/>
        </w:rPr>
      </w:pPr>
      <w:bookmarkStart w:id="39" w:name="_Toc66125112"/>
      <w:bookmarkStart w:id="40" w:name="_Toc67392676"/>
      <w:r w:rsidRPr="00756650">
        <w:rPr>
          <w:sz w:val="22"/>
          <w:lang w:val="en-GB"/>
        </w:rPr>
        <w:t>Financial Disparity</w:t>
      </w:r>
      <w:bookmarkEnd w:id="39"/>
      <w:bookmarkEnd w:id="40"/>
    </w:p>
    <w:p w14:paraId="35F0702F" w14:textId="794FFEBE" w:rsidR="005C4935" w:rsidRPr="001B5F49" w:rsidRDefault="001B5F49" w:rsidP="005C4935">
      <w:pPr>
        <w:ind w:firstLine="567"/>
        <w:jc w:val="both"/>
        <w:rPr>
          <w:sz w:val="22"/>
          <w:szCs w:val="22"/>
          <w:lang w:val="en-GB"/>
        </w:rPr>
      </w:pPr>
      <w:r w:rsidRPr="001B5F49">
        <w:rPr>
          <w:sz w:val="22"/>
          <w:szCs w:val="22"/>
          <w:lang w:val="en-US"/>
        </w:rPr>
        <w:t>T</w:t>
      </w:r>
      <w:r w:rsidR="005C4935" w:rsidRPr="001B5F49">
        <w:rPr>
          <w:sz w:val="22"/>
          <w:szCs w:val="22"/>
          <w:lang w:val="en-US"/>
        </w:rPr>
        <w:t xml:space="preserve">he deadlocked shareholders </w:t>
      </w:r>
      <w:r w:rsidR="002A03CA">
        <w:rPr>
          <w:sz w:val="22"/>
          <w:szCs w:val="22"/>
          <w:lang w:val="en-US"/>
        </w:rPr>
        <w:t xml:space="preserve">may </w:t>
      </w:r>
      <w:r w:rsidRPr="001B5F49">
        <w:rPr>
          <w:sz w:val="22"/>
          <w:szCs w:val="22"/>
          <w:lang w:val="en-US"/>
        </w:rPr>
        <w:t>also happen to be</w:t>
      </w:r>
      <w:r w:rsidR="005C4935" w:rsidRPr="001B5F49">
        <w:rPr>
          <w:sz w:val="22"/>
          <w:szCs w:val="22"/>
          <w:lang w:val="en-US"/>
        </w:rPr>
        <w:t xml:space="preserve"> </w:t>
      </w:r>
      <w:r w:rsidR="005C4935" w:rsidRPr="001B5F49">
        <w:rPr>
          <w:sz w:val="22"/>
          <w:szCs w:val="22"/>
          <w:lang w:val="en-GB"/>
        </w:rPr>
        <w:t xml:space="preserve">differently capable of sourcing the financial resources required to cover the costs associated with buying the other </w:t>
      </w:r>
      <w:r w:rsidR="00041778">
        <w:rPr>
          <w:sz w:val="22"/>
          <w:szCs w:val="22"/>
          <w:lang w:val="en-GB"/>
        </w:rPr>
        <w:t xml:space="preserve">deadlocked </w:t>
      </w:r>
      <w:r w:rsidR="005C4935" w:rsidRPr="001B5F49">
        <w:rPr>
          <w:sz w:val="22"/>
          <w:szCs w:val="22"/>
          <w:lang w:val="en-GB"/>
        </w:rPr>
        <w:t xml:space="preserve">shareholder out. </w:t>
      </w:r>
    </w:p>
    <w:p w14:paraId="517A6986" w14:textId="03DAD332" w:rsidR="005C4935" w:rsidRPr="001B5F49" w:rsidRDefault="005C4935" w:rsidP="005C4935">
      <w:pPr>
        <w:ind w:firstLine="567"/>
        <w:jc w:val="both"/>
        <w:rPr>
          <w:sz w:val="22"/>
          <w:szCs w:val="22"/>
          <w:lang w:val="en-GB"/>
        </w:rPr>
      </w:pPr>
      <w:r w:rsidRPr="001B5F49">
        <w:rPr>
          <w:sz w:val="22"/>
          <w:szCs w:val="22"/>
          <w:lang w:val="en-GB"/>
        </w:rPr>
        <w:t xml:space="preserve">Financial disparity is not a function of a comparative assessment of the wealth that </w:t>
      </w:r>
      <w:r w:rsidR="002A03CA">
        <w:rPr>
          <w:sz w:val="22"/>
          <w:szCs w:val="22"/>
          <w:lang w:val="en-GB"/>
        </w:rPr>
        <w:t xml:space="preserve">the deadlocked shareholder </w:t>
      </w:r>
      <w:r w:rsidRPr="001B5F49">
        <w:rPr>
          <w:sz w:val="22"/>
          <w:szCs w:val="22"/>
          <w:lang w:val="en-GB"/>
        </w:rPr>
        <w:t>have at their immediate fruition</w:t>
      </w:r>
      <w:r w:rsidR="002A03CA">
        <w:rPr>
          <w:sz w:val="22"/>
          <w:szCs w:val="22"/>
          <w:lang w:val="en-GB"/>
        </w:rPr>
        <w:t xml:space="preserve">. Rather, it stems out of different relative ease with which the deadlocked shareholders can access finance. </w:t>
      </w:r>
      <w:r w:rsidRPr="001B5F49">
        <w:rPr>
          <w:sz w:val="22"/>
          <w:szCs w:val="22"/>
          <w:lang w:val="en-GB"/>
        </w:rPr>
        <w:t xml:space="preserve">For instance, a “shell” corporation that has </w:t>
      </w:r>
      <w:r w:rsidR="00A76396">
        <w:rPr>
          <w:sz w:val="22"/>
          <w:szCs w:val="22"/>
          <w:lang w:val="en-GB"/>
        </w:rPr>
        <w:t xml:space="preserve">no </w:t>
      </w:r>
      <w:r w:rsidRPr="001B5F49">
        <w:rPr>
          <w:sz w:val="22"/>
          <w:szCs w:val="22"/>
          <w:lang w:val="en-GB"/>
        </w:rPr>
        <w:t xml:space="preserve">cash reserve whatsoever and no valuable assets, but </w:t>
      </w:r>
      <w:r w:rsidR="00A76396">
        <w:rPr>
          <w:sz w:val="22"/>
          <w:szCs w:val="22"/>
          <w:lang w:val="en-GB"/>
        </w:rPr>
        <w:t xml:space="preserve">it </w:t>
      </w:r>
      <w:r w:rsidRPr="001B5F49">
        <w:rPr>
          <w:sz w:val="22"/>
          <w:szCs w:val="22"/>
          <w:lang w:val="en-GB"/>
        </w:rPr>
        <w:t xml:space="preserve">is part to a big corporate conglomerate </w:t>
      </w:r>
      <w:r w:rsidR="00F62FB6">
        <w:rPr>
          <w:sz w:val="22"/>
          <w:szCs w:val="22"/>
          <w:lang w:val="en-GB"/>
        </w:rPr>
        <w:t>has no immediate access to liquidity but</w:t>
      </w:r>
      <w:r w:rsidR="00AA6071" w:rsidRPr="00AA6071">
        <w:rPr>
          <w:sz w:val="22"/>
          <w:szCs w:val="22"/>
          <w:lang w:val="en-GB"/>
        </w:rPr>
        <w:t xml:space="preserve"> </w:t>
      </w:r>
      <w:r w:rsidR="00AA6071">
        <w:rPr>
          <w:sz w:val="22"/>
          <w:szCs w:val="22"/>
          <w:lang w:val="en-GB"/>
        </w:rPr>
        <w:t xml:space="preserve">it has </w:t>
      </w:r>
      <w:r w:rsidR="00AA6071" w:rsidRPr="001B5F49">
        <w:rPr>
          <w:sz w:val="22"/>
          <w:szCs w:val="22"/>
          <w:lang w:val="en-GB"/>
        </w:rPr>
        <w:t xml:space="preserve">access the </w:t>
      </w:r>
      <w:r w:rsidR="00AA6071">
        <w:rPr>
          <w:sz w:val="22"/>
          <w:szCs w:val="22"/>
          <w:lang w:val="en-GB"/>
        </w:rPr>
        <w:t xml:space="preserve">intragroup </w:t>
      </w:r>
      <w:r w:rsidR="00AA6071" w:rsidRPr="001B5F49">
        <w:rPr>
          <w:sz w:val="22"/>
          <w:szCs w:val="22"/>
          <w:lang w:val="en-GB"/>
        </w:rPr>
        <w:t>capital market</w:t>
      </w:r>
      <w:r w:rsidRPr="001B5F49">
        <w:rPr>
          <w:sz w:val="22"/>
          <w:szCs w:val="22"/>
          <w:lang w:val="en-GB"/>
        </w:rPr>
        <w:t>.</w:t>
      </w:r>
      <w:r w:rsidR="00AA6071" w:rsidRPr="001B5F49">
        <w:rPr>
          <w:rStyle w:val="FootnoteReference"/>
          <w:rFonts w:ascii="Times New Roman" w:hAnsi="Times New Roman"/>
          <w:sz w:val="22"/>
          <w:szCs w:val="22"/>
          <w:lang w:val="en-GB"/>
        </w:rPr>
        <w:footnoteReference w:id="61"/>
      </w:r>
      <w:r w:rsidRPr="001B5F49">
        <w:rPr>
          <w:sz w:val="22"/>
          <w:szCs w:val="22"/>
          <w:lang w:val="en-GB"/>
        </w:rPr>
        <w:t xml:space="preserve"> </w:t>
      </w:r>
      <w:r w:rsidR="00AA6071">
        <w:rPr>
          <w:sz w:val="22"/>
          <w:szCs w:val="22"/>
          <w:lang w:val="en-GB"/>
        </w:rPr>
        <w:t xml:space="preserve">Despite appearances, this </w:t>
      </w:r>
      <w:r w:rsidR="00AA6071" w:rsidRPr="001B5F49">
        <w:rPr>
          <w:sz w:val="22"/>
          <w:szCs w:val="22"/>
          <w:lang w:val="en-GB"/>
        </w:rPr>
        <w:t xml:space="preserve">shell corporation </w:t>
      </w:r>
      <w:r w:rsidRPr="001B5F49">
        <w:rPr>
          <w:sz w:val="22"/>
          <w:szCs w:val="22"/>
          <w:lang w:val="en-GB"/>
        </w:rPr>
        <w:t>is all but financially less capable than a solid stand-alone firm that can fund the buyout by tapping upon his promptly available cash. The same shell corporation would instead plausibly be financially more capable to fund a buyout than a stand-alone firm that has pledged all its assets to fund a project through debt finance</w:t>
      </w:r>
      <w:r w:rsidR="00F62FB6">
        <w:rPr>
          <w:sz w:val="22"/>
          <w:szCs w:val="22"/>
          <w:lang w:val="en-GB"/>
        </w:rPr>
        <w:t xml:space="preserve"> and has no chance to source additional funding</w:t>
      </w:r>
      <w:r w:rsidRPr="001B5F49">
        <w:rPr>
          <w:sz w:val="22"/>
          <w:szCs w:val="22"/>
          <w:lang w:val="en-GB"/>
        </w:rPr>
        <w:t>.</w:t>
      </w:r>
    </w:p>
    <w:p w14:paraId="0B120FB7" w14:textId="0C19C2D8" w:rsidR="005C4935" w:rsidRPr="001B5F49" w:rsidRDefault="005C4935" w:rsidP="005C4935">
      <w:pPr>
        <w:ind w:firstLine="567"/>
        <w:jc w:val="both"/>
        <w:rPr>
          <w:sz w:val="22"/>
          <w:szCs w:val="22"/>
          <w:lang w:val="en-GB"/>
        </w:rPr>
      </w:pPr>
      <w:r w:rsidRPr="001B5F49">
        <w:rPr>
          <w:sz w:val="22"/>
          <w:szCs w:val="22"/>
          <w:lang w:val="en-GB"/>
        </w:rPr>
        <w:t xml:space="preserve">Financial disparity can </w:t>
      </w:r>
      <w:r w:rsidR="002A03CA">
        <w:rPr>
          <w:sz w:val="22"/>
          <w:szCs w:val="22"/>
          <w:lang w:val="en-GB"/>
        </w:rPr>
        <w:t xml:space="preserve">generate a number of heterogeneous scenarios that obviously </w:t>
      </w:r>
      <w:r w:rsidRPr="001B5F49">
        <w:rPr>
          <w:sz w:val="22"/>
          <w:szCs w:val="22"/>
          <w:lang w:val="en-GB"/>
        </w:rPr>
        <w:t xml:space="preserve">put </w:t>
      </w:r>
      <w:r w:rsidR="002A03CA">
        <w:rPr>
          <w:sz w:val="22"/>
          <w:szCs w:val="22"/>
          <w:lang w:val="en-GB"/>
        </w:rPr>
        <w:t xml:space="preserve">the financially less capable </w:t>
      </w:r>
      <w:r w:rsidRPr="001B5F49">
        <w:rPr>
          <w:sz w:val="22"/>
          <w:szCs w:val="22"/>
          <w:lang w:val="en-GB"/>
        </w:rPr>
        <w:t xml:space="preserve">deadlocked shareholder in a disadvantageous position. </w:t>
      </w:r>
      <w:r w:rsidR="002A03CA">
        <w:rPr>
          <w:sz w:val="22"/>
          <w:szCs w:val="22"/>
          <w:lang w:val="en-GB"/>
        </w:rPr>
        <w:t>T</w:t>
      </w:r>
      <w:r w:rsidRPr="001B5F49">
        <w:rPr>
          <w:sz w:val="22"/>
          <w:szCs w:val="22"/>
          <w:lang w:val="en-GB"/>
        </w:rPr>
        <w:t xml:space="preserve">he focus here is </w:t>
      </w:r>
      <w:r w:rsidR="00AA6071">
        <w:rPr>
          <w:sz w:val="22"/>
          <w:szCs w:val="22"/>
          <w:lang w:val="en-GB"/>
        </w:rPr>
        <w:t xml:space="preserve">on </w:t>
      </w:r>
      <w:r w:rsidRPr="001B5F49">
        <w:rPr>
          <w:sz w:val="22"/>
          <w:szCs w:val="22"/>
          <w:lang w:val="en-GB"/>
        </w:rPr>
        <w:t xml:space="preserve">the scenario </w:t>
      </w:r>
      <w:r w:rsidR="00AA6071">
        <w:rPr>
          <w:sz w:val="22"/>
          <w:szCs w:val="22"/>
          <w:lang w:val="en-GB"/>
        </w:rPr>
        <w:t xml:space="preserve">in which </w:t>
      </w:r>
      <w:r w:rsidR="002A03CA">
        <w:rPr>
          <w:sz w:val="22"/>
          <w:szCs w:val="22"/>
          <w:lang w:val="en-GB"/>
        </w:rPr>
        <w:t xml:space="preserve">one </w:t>
      </w:r>
      <w:r w:rsidR="00AA6071">
        <w:rPr>
          <w:sz w:val="22"/>
          <w:szCs w:val="22"/>
          <w:lang w:val="en-GB"/>
        </w:rPr>
        <w:t xml:space="preserve">deadlocked shareholder has </w:t>
      </w:r>
      <w:r w:rsidR="00A76396">
        <w:rPr>
          <w:sz w:val="22"/>
          <w:szCs w:val="22"/>
          <w:lang w:val="en-GB"/>
        </w:rPr>
        <w:t>limited-to-</w:t>
      </w:r>
      <w:r w:rsidR="00AA6071">
        <w:rPr>
          <w:sz w:val="22"/>
          <w:szCs w:val="22"/>
          <w:lang w:val="en-GB"/>
        </w:rPr>
        <w:t>no access to funding</w:t>
      </w:r>
      <w:r w:rsidRPr="001B5F49">
        <w:rPr>
          <w:sz w:val="22"/>
          <w:szCs w:val="22"/>
          <w:lang w:val="en-GB"/>
        </w:rPr>
        <w:t xml:space="preserve">. Besides, the </w:t>
      </w:r>
      <w:r w:rsidR="002A03CA">
        <w:rPr>
          <w:sz w:val="22"/>
          <w:szCs w:val="22"/>
          <w:lang w:val="en-GB"/>
        </w:rPr>
        <w:t xml:space="preserve">financially more capable deadlocked </w:t>
      </w:r>
      <w:r w:rsidRPr="001B5F49">
        <w:rPr>
          <w:sz w:val="22"/>
          <w:szCs w:val="22"/>
          <w:lang w:val="en-GB"/>
        </w:rPr>
        <w:t>shareholder is somehow privy to the fact that the non-triggering shareholder is experiencing financial hardship</w:t>
      </w:r>
      <w:r w:rsidR="002A03CA">
        <w:rPr>
          <w:sz w:val="22"/>
          <w:szCs w:val="22"/>
          <w:lang w:val="en-GB"/>
        </w:rPr>
        <w:t xml:space="preserve">. </w:t>
      </w:r>
      <w:r w:rsidR="00AA6071">
        <w:rPr>
          <w:sz w:val="22"/>
          <w:szCs w:val="22"/>
          <w:lang w:val="en-GB"/>
        </w:rPr>
        <w:t>(</w:t>
      </w:r>
      <w:r w:rsidR="002A03CA">
        <w:rPr>
          <w:sz w:val="22"/>
          <w:szCs w:val="22"/>
          <w:lang w:val="en-GB"/>
        </w:rPr>
        <w:t>This may in practice be the case</w:t>
      </w:r>
      <w:r w:rsidRPr="001B5F49">
        <w:rPr>
          <w:sz w:val="22"/>
          <w:szCs w:val="22"/>
          <w:lang w:val="en-GB"/>
        </w:rPr>
        <w:t xml:space="preserve"> because</w:t>
      </w:r>
      <w:r w:rsidR="002A03CA">
        <w:rPr>
          <w:sz w:val="22"/>
          <w:szCs w:val="22"/>
          <w:lang w:val="en-GB"/>
        </w:rPr>
        <w:t>,</w:t>
      </w:r>
      <w:r w:rsidR="002A03CA" w:rsidRPr="002A03CA">
        <w:rPr>
          <w:sz w:val="22"/>
          <w:szCs w:val="22"/>
          <w:lang w:val="en-GB"/>
        </w:rPr>
        <w:t xml:space="preserve"> </w:t>
      </w:r>
      <w:r w:rsidR="002A03CA">
        <w:rPr>
          <w:sz w:val="22"/>
          <w:szCs w:val="22"/>
          <w:lang w:val="en-GB"/>
        </w:rPr>
        <w:t>for instance,</w:t>
      </w:r>
      <w:r w:rsidRPr="001B5F49">
        <w:rPr>
          <w:sz w:val="22"/>
          <w:szCs w:val="22"/>
          <w:lang w:val="en-GB"/>
        </w:rPr>
        <w:t xml:space="preserve"> </w:t>
      </w:r>
      <w:r w:rsidR="002A03CA">
        <w:rPr>
          <w:sz w:val="22"/>
          <w:szCs w:val="22"/>
          <w:lang w:val="en-GB"/>
        </w:rPr>
        <w:t xml:space="preserve">the financially more capable deadlocked shareholder has first-hand information about the fact </w:t>
      </w:r>
      <w:r w:rsidRPr="001B5F49">
        <w:rPr>
          <w:sz w:val="22"/>
          <w:szCs w:val="22"/>
          <w:lang w:val="en-GB"/>
        </w:rPr>
        <w:t xml:space="preserve">that the non-triggering shareholder is </w:t>
      </w:r>
      <w:r w:rsidR="00981F75">
        <w:rPr>
          <w:sz w:val="22"/>
          <w:szCs w:val="22"/>
          <w:lang w:val="en-GB"/>
        </w:rPr>
        <w:t xml:space="preserve">literally struggling </w:t>
      </w:r>
      <w:r w:rsidRPr="001B5F49">
        <w:rPr>
          <w:sz w:val="22"/>
          <w:szCs w:val="22"/>
          <w:lang w:val="en-GB"/>
        </w:rPr>
        <w:t>to pay his due debts</w:t>
      </w:r>
      <w:r w:rsidR="00981F75">
        <w:rPr>
          <w:sz w:val="22"/>
          <w:szCs w:val="22"/>
          <w:lang w:val="en-GB"/>
        </w:rPr>
        <w:t>,</w:t>
      </w:r>
      <w:r w:rsidRPr="001B5F49">
        <w:rPr>
          <w:sz w:val="22"/>
          <w:szCs w:val="22"/>
          <w:lang w:val="en-GB"/>
        </w:rPr>
        <w:t xml:space="preserve"> </w:t>
      </w:r>
      <w:r w:rsidR="00981F75">
        <w:rPr>
          <w:sz w:val="22"/>
          <w:szCs w:val="22"/>
          <w:lang w:val="en-GB"/>
        </w:rPr>
        <w:t xml:space="preserve">giving ground to the </w:t>
      </w:r>
      <w:r w:rsidRPr="001B5F49">
        <w:rPr>
          <w:sz w:val="22"/>
          <w:szCs w:val="22"/>
          <w:lang w:val="en-GB"/>
        </w:rPr>
        <w:t>infer</w:t>
      </w:r>
      <w:r w:rsidR="00981F75">
        <w:rPr>
          <w:sz w:val="22"/>
          <w:szCs w:val="22"/>
          <w:lang w:val="en-GB"/>
        </w:rPr>
        <w:t>ence</w:t>
      </w:r>
      <w:r w:rsidRPr="001B5F49">
        <w:rPr>
          <w:sz w:val="22"/>
          <w:szCs w:val="22"/>
          <w:lang w:val="en-GB"/>
        </w:rPr>
        <w:t xml:space="preserve"> that </w:t>
      </w:r>
      <w:r w:rsidR="00981F75">
        <w:rPr>
          <w:sz w:val="22"/>
          <w:szCs w:val="22"/>
          <w:lang w:val="en-GB"/>
        </w:rPr>
        <w:t xml:space="preserve">he </w:t>
      </w:r>
      <w:r w:rsidRPr="001B5F49">
        <w:rPr>
          <w:sz w:val="22"/>
          <w:szCs w:val="22"/>
          <w:lang w:val="en-GB"/>
        </w:rPr>
        <w:t>be hardly able to fund the buyout.</w:t>
      </w:r>
      <w:r w:rsidR="00AA6071">
        <w:rPr>
          <w:sz w:val="22"/>
          <w:szCs w:val="22"/>
          <w:lang w:val="en-GB"/>
        </w:rPr>
        <w:t>)</w:t>
      </w:r>
      <w:r w:rsidRPr="001B5F49">
        <w:rPr>
          <w:sz w:val="22"/>
          <w:szCs w:val="22"/>
          <w:lang w:val="en-GB"/>
        </w:rPr>
        <w:t xml:space="preserve"> </w:t>
      </w:r>
    </w:p>
    <w:p w14:paraId="5B55DE79" w14:textId="7CA2DC36" w:rsidR="00D961F9" w:rsidRDefault="005C4935" w:rsidP="00D961F9">
      <w:pPr>
        <w:ind w:firstLine="567"/>
        <w:jc w:val="both"/>
        <w:rPr>
          <w:sz w:val="22"/>
          <w:szCs w:val="22"/>
          <w:lang w:val="en-GB"/>
        </w:rPr>
      </w:pPr>
      <w:r w:rsidRPr="001E7660">
        <w:rPr>
          <w:sz w:val="22"/>
          <w:szCs w:val="22"/>
          <w:lang w:val="en-GB"/>
        </w:rPr>
        <w:t xml:space="preserve">Under these circumstances, </w:t>
      </w:r>
      <w:r w:rsidR="002A1A45" w:rsidRPr="001E7660">
        <w:rPr>
          <w:sz w:val="22"/>
          <w:szCs w:val="22"/>
          <w:lang w:val="en-GB"/>
        </w:rPr>
        <w:t>the deadlocked shareholders would come up with identical estimates as to both deadlocked firm value DFV and post-deadlock firm value PDFV.</w:t>
      </w:r>
      <w:r w:rsidR="00AA6071" w:rsidRPr="001E7660">
        <w:rPr>
          <w:sz w:val="22"/>
          <w:szCs w:val="22"/>
          <w:lang w:val="en-GB"/>
        </w:rPr>
        <w:t xml:space="preserve"> </w:t>
      </w:r>
      <w:r w:rsidR="00D961F9">
        <w:rPr>
          <w:sz w:val="22"/>
          <w:szCs w:val="22"/>
          <w:lang w:val="en-GB"/>
        </w:rPr>
        <w:t>The lowest price that either deadlocked shareholder would accept to sell his shareholding is equal to their outside options plus the inducement required to justify the exchange – that is, OP1=OP2=DFV/2+X. The highest prices HP</w:t>
      </w:r>
      <w:r w:rsidR="00D961F9">
        <w:rPr>
          <w:sz w:val="22"/>
          <w:szCs w:val="22"/>
          <w:vertAlign w:val="subscript"/>
          <w:lang w:val="en-GB"/>
        </w:rPr>
        <w:t xml:space="preserve">1 </w:t>
      </w:r>
      <w:r w:rsidR="00D961F9" w:rsidRPr="006020B6">
        <w:rPr>
          <w:sz w:val="22"/>
          <w:szCs w:val="22"/>
          <w:lang w:val="en-GB"/>
        </w:rPr>
        <w:t>and</w:t>
      </w:r>
      <w:r w:rsidR="00D961F9">
        <w:rPr>
          <w:sz w:val="22"/>
          <w:szCs w:val="22"/>
          <w:vertAlign w:val="subscript"/>
          <w:lang w:val="en-GB"/>
        </w:rPr>
        <w:t xml:space="preserve"> </w:t>
      </w:r>
      <w:r w:rsidR="00D961F9">
        <w:rPr>
          <w:sz w:val="22"/>
          <w:szCs w:val="22"/>
          <w:lang w:val="en-GB"/>
        </w:rPr>
        <w:t>HP</w:t>
      </w:r>
      <w:r w:rsidR="00D961F9">
        <w:rPr>
          <w:sz w:val="22"/>
          <w:szCs w:val="22"/>
          <w:vertAlign w:val="subscript"/>
          <w:lang w:val="en-GB"/>
        </w:rPr>
        <w:t xml:space="preserve">2 </w:t>
      </w:r>
      <w:r w:rsidR="00D961F9">
        <w:rPr>
          <w:sz w:val="22"/>
          <w:szCs w:val="22"/>
          <w:lang w:val="en-GB"/>
        </w:rPr>
        <w:t>that deadlocked shareholders would pay are equal to the difference between their own estimate as to post-deadlock firm value and their outside options minus the inducement that would justify the exchange – that is, HP</w:t>
      </w:r>
      <w:r w:rsidR="00D961F9">
        <w:rPr>
          <w:sz w:val="22"/>
          <w:szCs w:val="22"/>
          <w:vertAlign w:val="subscript"/>
          <w:lang w:val="en-GB"/>
        </w:rPr>
        <w:t>1</w:t>
      </w:r>
      <w:r w:rsidR="00D961F9" w:rsidRPr="006020B6">
        <w:rPr>
          <w:sz w:val="22"/>
          <w:szCs w:val="22"/>
          <w:lang w:val="en-GB"/>
        </w:rPr>
        <w:t>=</w:t>
      </w:r>
      <w:r w:rsidR="00D961F9">
        <w:rPr>
          <w:sz w:val="22"/>
          <w:szCs w:val="22"/>
          <w:lang w:val="en-GB"/>
        </w:rPr>
        <w:t>HP</w:t>
      </w:r>
      <w:r w:rsidR="00D961F9">
        <w:rPr>
          <w:sz w:val="22"/>
          <w:szCs w:val="22"/>
          <w:vertAlign w:val="subscript"/>
          <w:lang w:val="en-GB"/>
        </w:rPr>
        <w:t>2</w:t>
      </w:r>
      <w:r w:rsidR="00D961F9">
        <w:rPr>
          <w:sz w:val="22"/>
          <w:szCs w:val="22"/>
          <w:lang w:val="en-GB"/>
        </w:rPr>
        <w:t>=(PDFV-DFV/2)-X.</w:t>
      </w:r>
    </w:p>
    <w:p w14:paraId="0EE71176" w14:textId="3F3B5220" w:rsidR="00D961F9" w:rsidRDefault="00D961F9" w:rsidP="00D961F9">
      <w:pPr>
        <w:ind w:firstLine="567"/>
        <w:jc w:val="both"/>
        <w:rPr>
          <w:sz w:val="22"/>
          <w:szCs w:val="22"/>
          <w:lang w:val="en-GB"/>
        </w:rPr>
      </w:pPr>
      <w:r>
        <w:rPr>
          <w:sz w:val="22"/>
          <w:szCs w:val="22"/>
          <w:lang w:val="en-GB"/>
        </w:rPr>
        <w:t xml:space="preserve">The two ends of the ZoPA here consists in the lowest price </w:t>
      </w:r>
      <w:r w:rsidR="00981D79">
        <w:rPr>
          <w:sz w:val="22"/>
          <w:szCs w:val="22"/>
          <w:lang w:val="en-GB"/>
        </w:rPr>
        <w:t xml:space="preserve">LP1 and LP2 </w:t>
      </w:r>
      <w:r>
        <w:rPr>
          <w:sz w:val="22"/>
          <w:szCs w:val="22"/>
          <w:lang w:val="en-GB"/>
        </w:rPr>
        <w:t xml:space="preserve">that either deadlocked shareholder would accept to sell his own shareholding and the highest price </w:t>
      </w:r>
      <w:r w:rsidR="00981D79">
        <w:rPr>
          <w:sz w:val="22"/>
          <w:szCs w:val="22"/>
          <w:lang w:val="en-GB"/>
        </w:rPr>
        <w:t xml:space="preserve">HP1 and HP2 </w:t>
      </w:r>
      <w:r>
        <w:rPr>
          <w:sz w:val="22"/>
          <w:szCs w:val="22"/>
          <w:lang w:val="en-GB"/>
        </w:rPr>
        <w:t xml:space="preserve">that either deadlocked shareholder would pay to buy the other deadlocked </w:t>
      </w:r>
      <w:r>
        <w:rPr>
          <w:sz w:val="22"/>
          <w:szCs w:val="22"/>
          <w:lang w:val="en-GB"/>
        </w:rPr>
        <w:lastRenderedPageBreak/>
        <w:t xml:space="preserve">shareholder’s shareholding. The lowest price is equal to either deadlocked shareholder’s </w:t>
      </w:r>
      <w:r w:rsidRPr="00336C11">
        <w:rPr>
          <w:sz w:val="22"/>
          <w:szCs w:val="22"/>
          <w:lang w:val="en-GB"/>
        </w:rPr>
        <w:t xml:space="preserve">outside option </w:t>
      </w:r>
      <w:r w:rsidRPr="007E5C23">
        <w:rPr>
          <w:i/>
          <w:sz w:val="22"/>
          <w:szCs w:val="22"/>
          <w:lang w:val="en-GB"/>
        </w:rPr>
        <w:t>plus</w:t>
      </w:r>
      <w:r w:rsidRPr="00336C11">
        <w:rPr>
          <w:sz w:val="22"/>
          <w:szCs w:val="22"/>
          <w:lang w:val="en-GB"/>
        </w:rPr>
        <w:t xml:space="preserve"> </w:t>
      </w:r>
      <w:r>
        <w:rPr>
          <w:sz w:val="22"/>
          <w:szCs w:val="22"/>
          <w:lang w:val="en-GB"/>
        </w:rPr>
        <w:t>the</w:t>
      </w:r>
      <w:r w:rsidRPr="00336C11">
        <w:rPr>
          <w:sz w:val="22"/>
          <w:szCs w:val="22"/>
          <w:lang w:val="en-GB"/>
        </w:rPr>
        <w:t xml:space="preserve"> potentially infinitesimal inducement</w:t>
      </w:r>
      <w:r>
        <w:rPr>
          <w:sz w:val="22"/>
          <w:szCs w:val="22"/>
          <w:lang w:val="en-GB"/>
        </w:rPr>
        <w:t xml:space="preserve"> that would justify the exchange</w:t>
      </w:r>
      <w:r w:rsidRPr="00336C11">
        <w:rPr>
          <w:sz w:val="22"/>
          <w:szCs w:val="22"/>
          <w:lang w:val="en-GB"/>
        </w:rPr>
        <w:t>.</w:t>
      </w:r>
      <w:r w:rsidRPr="00336C11">
        <w:rPr>
          <w:rStyle w:val="FootnoteReference"/>
          <w:rFonts w:ascii="Times New Roman" w:hAnsi="Times New Roman"/>
          <w:sz w:val="22"/>
          <w:szCs w:val="22"/>
          <w:lang w:val="en-GB"/>
        </w:rPr>
        <w:footnoteReference w:id="62"/>
      </w:r>
      <w:r w:rsidRPr="00336C11">
        <w:rPr>
          <w:sz w:val="22"/>
          <w:szCs w:val="22"/>
          <w:lang w:val="en-GB"/>
        </w:rPr>
        <w:t xml:space="preserve"> </w:t>
      </w:r>
      <w:r>
        <w:rPr>
          <w:sz w:val="22"/>
          <w:szCs w:val="22"/>
          <w:lang w:val="en-GB"/>
        </w:rPr>
        <w:t>That is, L</w:t>
      </w:r>
      <w:r w:rsidRPr="00336C11">
        <w:rPr>
          <w:sz w:val="22"/>
          <w:szCs w:val="22"/>
          <w:lang w:val="en-GB"/>
        </w:rPr>
        <w:t>P</w:t>
      </w:r>
      <w:r w:rsidRPr="00336C11">
        <w:rPr>
          <w:sz w:val="22"/>
          <w:szCs w:val="22"/>
          <w:vertAlign w:val="subscript"/>
          <w:lang w:val="en-GB"/>
        </w:rPr>
        <w:t>1</w:t>
      </w:r>
      <w:r>
        <w:rPr>
          <w:sz w:val="22"/>
          <w:szCs w:val="22"/>
          <w:lang w:val="en-GB"/>
        </w:rPr>
        <w:t>=L</w:t>
      </w:r>
      <w:r w:rsidRPr="00336C11">
        <w:rPr>
          <w:sz w:val="22"/>
          <w:szCs w:val="22"/>
          <w:lang w:val="en-GB"/>
        </w:rPr>
        <w:t>P</w:t>
      </w:r>
      <w:r w:rsidRPr="00336C11">
        <w:rPr>
          <w:sz w:val="22"/>
          <w:szCs w:val="22"/>
          <w:vertAlign w:val="subscript"/>
          <w:lang w:val="en-GB"/>
        </w:rPr>
        <w:t>2</w:t>
      </w:r>
      <w:r w:rsidRPr="00336C11">
        <w:rPr>
          <w:sz w:val="22"/>
          <w:szCs w:val="22"/>
          <w:lang w:val="en-GB"/>
        </w:rPr>
        <w:t>=</w:t>
      </w:r>
      <w:r>
        <w:rPr>
          <w:sz w:val="22"/>
          <w:szCs w:val="22"/>
          <w:lang w:val="en-GB"/>
        </w:rPr>
        <w:t>DFV</w:t>
      </w:r>
      <w:r w:rsidRPr="00336C11">
        <w:rPr>
          <w:sz w:val="22"/>
          <w:szCs w:val="22"/>
          <w:lang w:val="en-GB"/>
        </w:rPr>
        <w:t xml:space="preserve">+X. </w:t>
      </w:r>
      <w:r>
        <w:rPr>
          <w:sz w:val="22"/>
          <w:szCs w:val="22"/>
          <w:lang w:val="en-GB"/>
        </w:rPr>
        <w:t xml:space="preserve">The highest price is equal to the difference between post-deadlock firm value PDFV and the value that that either shareholding has under the </w:t>
      </w:r>
      <w:r w:rsidRPr="002C43CD">
        <w:rPr>
          <w:sz w:val="22"/>
          <w:szCs w:val="22"/>
          <w:lang w:val="en-GB"/>
        </w:rPr>
        <w:t>status quo</w:t>
      </w:r>
      <w:r>
        <w:rPr>
          <w:sz w:val="22"/>
          <w:szCs w:val="22"/>
          <w:lang w:val="en-GB"/>
        </w:rPr>
        <w:t xml:space="preserve"> </w:t>
      </w:r>
      <w:r w:rsidRPr="00336C11">
        <w:rPr>
          <w:i/>
          <w:sz w:val="22"/>
          <w:szCs w:val="22"/>
          <w:lang w:val="en-GB"/>
        </w:rPr>
        <w:t>minus</w:t>
      </w:r>
      <w:r w:rsidRPr="00336C11">
        <w:rPr>
          <w:sz w:val="22"/>
          <w:szCs w:val="22"/>
          <w:lang w:val="en-GB"/>
        </w:rPr>
        <w:t xml:space="preserve"> a potentially infinitesimal inducement</w:t>
      </w:r>
      <w:r>
        <w:rPr>
          <w:sz w:val="22"/>
          <w:szCs w:val="22"/>
          <w:lang w:val="en-GB"/>
        </w:rPr>
        <w:t xml:space="preserve"> that would justify the exchange.</w:t>
      </w:r>
      <w:r w:rsidRPr="00336C11">
        <w:rPr>
          <w:rStyle w:val="FootnoteReference"/>
          <w:rFonts w:ascii="Times New Roman" w:hAnsi="Times New Roman"/>
          <w:sz w:val="22"/>
          <w:szCs w:val="22"/>
          <w:lang w:val="en-GB"/>
        </w:rPr>
        <w:footnoteReference w:id="63"/>
      </w:r>
      <w:r w:rsidRPr="00336C11">
        <w:rPr>
          <w:sz w:val="22"/>
          <w:szCs w:val="22"/>
          <w:lang w:val="en-GB"/>
        </w:rPr>
        <w:t xml:space="preserve"> </w:t>
      </w:r>
      <w:r>
        <w:rPr>
          <w:sz w:val="22"/>
          <w:szCs w:val="22"/>
          <w:lang w:val="en-GB"/>
        </w:rPr>
        <w:t xml:space="preserve">This highest price would be </w:t>
      </w:r>
      <w:r w:rsidRPr="00336C11">
        <w:rPr>
          <w:sz w:val="22"/>
          <w:szCs w:val="22"/>
          <w:lang w:val="en-GB"/>
        </w:rPr>
        <w:t>such that HP</w:t>
      </w:r>
      <w:r w:rsidRPr="00336C11">
        <w:rPr>
          <w:sz w:val="22"/>
          <w:szCs w:val="22"/>
          <w:vertAlign w:val="subscript"/>
          <w:lang w:val="en-GB"/>
        </w:rPr>
        <w:t>1</w:t>
      </w:r>
      <w:r w:rsidRPr="00E76BB2">
        <w:rPr>
          <w:sz w:val="22"/>
          <w:szCs w:val="22"/>
          <w:lang w:val="en-GB"/>
        </w:rPr>
        <w:t>=</w:t>
      </w:r>
      <w:r w:rsidRPr="00336C11">
        <w:rPr>
          <w:sz w:val="22"/>
          <w:szCs w:val="22"/>
          <w:lang w:val="en-GB"/>
        </w:rPr>
        <w:t>HP</w:t>
      </w:r>
      <w:r w:rsidRPr="00336C11">
        <w:rPr>
          <w:sz w:val="22"/>
          <w:szCs w:val="22"/>
          <w:vertAlign w:val="subscript"/>
          <w:lang w:val="en-GB"/>
        </w:rPr>
        <w:t>2</w:t>
      </w:r>
      <w:r>
        <w:rPr>
          <w:sz w:val="22"/>
          <w:szCs w:val="22"/>
          <w:lang w:val="en-GB"/>
        </w:rPr>
        <w:t>=(PDFV-DFV/2)-</w:t>
      </w:r>
      <w:r w:rsidRPr="00336C11">
        <w:rPr>
          <w:sz w:val="22"/>
          <w:szCs w:val="22"/>
          <w:lang w:val="en-GB"/>
        </w:rPr>
        <w:t>X.</w:t>
      </w:r>
    </w:p>
    <w:p w14:paraId="5867A21E" w14:textId="16F4EA11" w:rsidR="00981D79" w:rsidRDefault="00981D79" w:rsidP="00981D79">
      <w:pPr>
        <w:ind w:firstLine="567"/>
        <w:jc w:val="both"/>
        <w:rPr>
          <w:sz w:val="22"/>
          <w:szCs w:val="22"/>
          <w:lang w:val="en-GB"/>
        </w:rPr>
      </w:pPr>
      <w:r>
        <w:rPr>
          <w:sz w:val="22"/>
          <w:szCs w:val="22"/>
          <w:lang w:val="en-GB"/>
        </w:rPr>
        <w:t>Here again, extemporary negotiations could lead to setting a buyout price that may sit anywhere on this range. Dynamics analogous to those that can emerge under perfect symmetry can be observable. Given the deadlocked shareholders’ outside options LP</w:t>
      </w:r>
      <w:r w:rsidRPr="002912A6">
        <w:rPr>
          <w:sz w:val="22"/>
          <w:szCs w:val="22"/>
          <w:vertAlign w:val="subscript"/>
          <w:lang w:val="en-GB"/>
        </w:rPr>
        <w:t>1</w:t>
      </w:r>
      <w:r w:rsidRPr="00BB34DC">
        <w:rPr>
          <w:sz w:val="22"/>
          <w:szCs w:val="22"/>
          <w:lang w:val="en-GB"/>
        </w:rPr>
        <w:t>=</w:t>
      </w:r>
      <w:r>
        <w:rPr>
          <w:sz w:val="22"/>
          <w:szCs w:val="22"/>
          <w:lang w:val="en-GB"/>
        </w:rPr>
        <w:t>LP</w:t>
      </w:r>
      <w:r>
        <w:rPr>
          <w:sz w:val="22"/>
          <w:szCs w:val="22"/>
          <w:vertAlign w:val="subscript"/>
          <w:lang w:val="en-GB"/>
        </w:rPr>
        <w:t>2</w:t>
      </w:r>
      <w:r>
        <w:rPr>
          <w:sz w:val="22"/>
          <w:szCs w:val="22"/>
          <w:lang w:val="en-GB"/>
        </w:rPr>
        <w:t>=DFV/2, the more managerially more skilled deadlocked shareholder could attempt to buy the managerially less skilled deadlocked shareholder out for a price P=DFV/2+X,</w:t>
      </w:r>
      <w:r w:rsidRPr="00681787">
        <w:rPr>
          <w:sz w:val="22"/>
          <w:szCs w:val="22"/>
          <w:lang w:val="en-GB"/>
        </w:rPr>
        <w:t xml:space="preserve"> </w:t>
      </w:r>
      <w:r>
        <w:rPr>
          <w:sz w:val="22"/>
          <w:szCs w:val="22"/>
          <w:lang w:val="en-GB"/>
        </w:rPr>
        <w:t xml:space="preserve">thereby making a win W=PDFV/2-P. Besides, as intuitively as obviously, the risk comes in fact into existence that imbalances in financial capabilities may disrupt the bargaining equilibrium, </w:t>
      </w:r>
      <w:r w:rsidR="005E4FF6">
        <w:rPr>
          <w:sz w:val="22"/>
          <w:szCs w:val="22"/>
          <w:lang w:val="en-GB"/>
        </w:rPr>
        <w:t>increasing the chances that unfair buyouts would materialize</w:t>
      </w:r>
      <w:r>
        <w:rPr>
          <w:sz w:val="22"/>
          <w:szCs w:val="22"/>
          <w:lang w:val="en-GB"/>
        </w:rPr>
        <w:t>.</w:t>
      </w:r>
    </w:p>
    <w:p w14:paraId="1AC3380F" w14:textId="0E5E048F" w:rsidR="00981D79" w:rsidRDefault="00981D79" w:rsidP="00981D79">
      <w:pPr>
        <w:ind w:firstLine="567"/>
        <w:jc w:val="both"/>
        <w:rPr>
          <w:sz w:val="22"/>
          <w:szCs w:val="22"/>
          <w:lang w:val="en-US"/>
        </w:rPr>
      </w:pPr>
      <w:r>
        <w:rPr>
          <w:sz w:val="22"/>
          <w:szCs w:val="22"/>
          <w:lang w:val="en-GB"/>
        </w:rPr>
        <w:t xml:space="preserve">To sum up: rather obviously, </w:t>
      </w:r>
      <w:r w:rsidR="005E4FF6">
        <w:rPr>
          <w:sz w:val="22"/>
          <w:szCs w:val="22"/>
          <w:lang w:val="en-GB"/>
        </w:rPr>
        <w:t xml:space="preserve">financial disparity does not obviously </w:t>
      </w:r>
      <w:r>
        <w:rPr>
          <w:sz w:val="22"/>
          <w:szCs w:val="22"/>
          <w:lang w:val="en-GB"/>
        </w:rPr>
        <w:t xml:space="preserve">reduce to any extent the bargaining outcome uncertainty that is observable already under perfect symmetry; rather, </w:t>
      </w:r>
      <w:r w:rsidR="005E4FF6">
        <w:rPr>
          <w:sz w:val="22"/>
          <w:szCs w:val="22"/>
          <w:lang w:val="en-GB"/>
        </w:rPr>
        <w:t xml:space="preserve">financial disparity </w:t>
      </w:r>
      <w:r>
        <w:rPr>
          <w:sz w:val="22"/>
          <w:szCs w:val="22"/>
          <w:lang w:val="en-GB"/>
        </w:rPr>
        <w:t>create</w:t>
      </w:r>
      <w:r w:rsidR="005E4FF6">
        <w:rPr>
          <w:sz w:val="22"/>
          <w:szCs w:val="22"/>
          <w:lang w:val="en-GB"/>
        </w:rPr>
        <w:t>s</w:t>
      </w:r>
      <w:r>
        <w:rPr>
          <w:sz w:val="22"/>
          <w:szCs w:val="22"/>
          <w:lang w:val="en-GB"/>
        </w:rPr>
        <w:t xml:space="preserve"> frictions in the bargaining environment that may contribute to propitiate unfair buyouts.</w:t>
      </w:r>
      <w:r w:rsidRPr="00041778">
        <w:rPr>
          <w:sz w:val="22"/>
          <w:szCs w:val="22"/>
          <w:lang w:val="en-US"/>
        </w:rPr>
        <w:t xml:space="preserve"> </w:t>
      </w:r>
    </w:p>
    <w:p w14:paraId="33D2DB99" w14:textId="20802208" w:rsidR="006020B6" w:rsidRDefault="00981D79" w:rsidP="006020B6">
      <w:pPr>
        <w:ind w:firstLine="567"/>
        <w:jc w:val="both"/>
        <w:rPr>
          <w:sz w:val="22"/>
          <w:szCs w:val="22"/>
          <w:lang w:val="en-GB"/>
        </w:rPr>
      </w:pPr>
      <w:r w:rsidRPr="006020B6">
        <w:rPr>
          <w:sz w:val="22"/>
          <w:szCs w:val="22"/>
          <w:lang w:val="en-GB"/>
        </w:rPr>
        <w:t xml:space="preserve">Quite importantly, extemporary negotiations result in a voluntary exchange. </w:t>
      </w:r>
      <w:r w:rsidR="005E4FF6" w:rsidRPr="006020B6">
        <w:rPr>
          <w:sz w:val="22"/>
          <w:szCs w:val="22"/>
          <w:lang w:val="en-GB"/>
        </w:rPr>
        <w:t>Th</w:t>
      </w:r>
      <w:r w:rsidRPr="006020B6">
        <w:rPr>
          <w:sz w:val="22"/>
          <w:szCs w:val="22"/>
          <w:lang w:val="en-GB"/>
        </w:rPr>
        <w:t xml:space="preserve">e </w:t>
      </w:r>
      <w:r w:rsidR="005E4FF6" w:rsidRPr="006020B6">
        <w:rPr>
          <w:sz w:val="22"/>
          <w:szCs w:val="22"/>
          <w:lang w:val="en-GB"/>
        </w:rPr>
        <w:t xml:space="preserve">financially stronger deadlock </w:t>
      </w:r>
      <w:r w:rsidRPr="006020B6">
        <w:rPr>
          <w:sz w:val="22"/>
          <w:szCs w:val="22"/>
          <w:lang w:val="en-GB"/>
        </w:rPr>
        <w:t xml:space="preserve">shareholder </w:t>
      </w:r>
      <w:r w:rsidR="005E4FF6" w:rsidRPr="006020B6">
        <w:rPr>
          <w:sz w:val="22"/>
          <w:szCs w:val="22"/>
          <w:lang w:val="en-GB"/>
        </w:rPr>
        <w:t xml:space="preserve">has no tool to </w:t>
      </w:r>
      <w:r w:rsidRPr="006020B6">
        <w:rPr>
          <w:sz w:val="22"/>
          <w:szCs w:val="22"/>
          <w:lang w:val="en-GB"/>
        </w:rPr>
        <w:t xml:space="preserve">“force” the </w:t>
      </w:r>
      <w:r w:rsidR="005E4FF6" w:rsidRPr="006020B6">
        <w:rPr>
          <w:sz w:val="22"/>
          <w:szCs w:val="22"/>
          <w:lang w:val="en-GB"/>
        </w:rPr>
        <w:t xml:space="preserve">financially weaker deadlocked </w:t>
      </w:r>
      <w:r w:rsidRPr="006020B6">
        <w:rPr>
          <w:sz w:val="22"/>
          <w:szCs w:val="22"/>
          <w:lang w:val="en-GB"/>
        </w:rPr>
        <w:t>shareholder to s</w:t>
      </w:r>
      <w:r w:rsidR="005E4FF6" w:rsidRPr="006020B6">
        <w:rPr>
          <w:sz w:val="22"/>
          <w:szCs w:val="22"/>
          <w:lang w:val="en-GB"/>
        </w:rPr>
        <w:t>ell for anything less than PDFV</w:t>
      </w:r>
      <w:r w:rsidRPr="006020B6">
        <w:rPr>
          <w:sz w:val="22"/>
          <w:szCs w:val="22"/>
          <w:lang w:val="en-GB"/>
        </w:rPr>
        <w:t xml:space="preserve">/2. </w:t>
      </w:r>
      <w:r w:rsidR="005E4FF6" w:rsidRPr="006020B6">
        <w:rPr>
          <w:sz w:val="22"/>
          <w:szCs w:val="22"/>
          <w:lang w:val="en-GB"/>
        </w:rPr>
        <w:t>Here again, t</w:t>
      </w:r>
      <w:r w:rsidRPr="006020B6">
        <w:rPr>
          <w:sz w:val="22"/>
          <w:szCs w:val="22"/>
          <w:lang w:val="en-GB"/>
        </w:rPr>
        <w:t>he voluntary nature of the exchange constitutes a fundamental</w:t>
      </w:r>
      <w:r w:rsidR="005E4FF6" w:rsidRPr="006020B6">
        <w:rPr>
          <w:sz w:val="22"/>
          <w:szCs w:val="22"/>
          <w:lang w:val="en-GB"/>
        </w:rPr>
        <w:t> </w:t>
      </w:r>
      <w:r w:rsidRPr="006020B6">
        <w:rPr>
          <w:sz w:val="22"/>
          <w:szCs w:val="22"/>
          <w:lang w:val="en-GB"/>
        </w:rPr>
        <w:t>li</w:t>
      </w:r>
      <w:r w:rsidR="005E4FF6" w:rsidRPr="006020B6">
        <w:rPr>
          <w:sz w:val="22"/>
          <w:szCs w:val="22"/>
          <w:lang w:val="en-GB"/>
        </w:rPr>
        <w:t>ne of defen</w:t>
      </w:r>
      <w:r w:rsidR="00335DE3">
        <w:rPr>
          <w:sz w:val="22"/>
          <w:szCs w:val="22"/>
          <w:lang w:val="en-GB"/>
        </w:rPr>
        <w:t>c</w:t>
      </w:r>
      <w:r w:rsidR="005E4FF6" w:rsidRPr="006020B6">
        <w:rPr>
          <w:sz w:val="22"/>
          <w:szCs w:val="22"/>
          <w:lang w:val="en-GB"/>
        </w:rPr>
        <w:t>e against unfair buyouts</w:t>
      </w:r>
      <w:r>
        <w:rPr>
          <w:sz w:val="22"/>
          <w:szCs w:val="22"/>
          <w:lang w:val="en-GB"/>
        </w:rPr>
        <w:t>.</w:t>
      </w:r>
      <w:bookmarkStart w:id="41" w:name="_Toc58274688"/>
      <w:bookmarkStart w:id="42" w:name="_Toc64465221"/>
      <w:bookmarkStart w:id="43" w:name="_Toc66125113"/>
      <w:bookmarkStart w:id="44" w:name="_Toc67392677"/>
    </w:p>
    <w:p w14:paraId="6353EDA7" w14:textId="232DEC66" w:rsidR="00D6452C" w:rsidRPr="00336C11" w:rsidRDefault="001E7660" w:rsidP="006020B6">
      <w:pPr>
        <w:pStyle w:val="Heading1"/>
        <w:numPr>
          <w:ilvl w:val="0"/>
          <w:numId w:val="28"/>
        </w:numPr>
        <w:spacing w:before="1200" w:after="240"/>
        <w:ind w:left="567" w:hanging="567"/>
        <w:rPr>
          <w:i/>
          <w:iCs/>
          <w:smallCaps w:val="0"/>
          <w:sz w:val="22"/>
          <w:szCs w:val="22"/>
          <w:lang w:val="en-GB"/>
        </w:rPr>
      </w:pPr>
      <w:r>
        <w:rPr>
          <w:i/>
          <w:iCs/>
          <w:smallCaps w:val="0"/>
          <w:sz w:val="22"/>
          <w:szCs w:val="22"/>
          <w:lang w:val="en-GB"/>
        </w:rPr>
        <w:t xml:space="preserve">A </w:t>
      </w:r>
      <w:r w:rsidR="003441FD">
        <w:rPr>
          <w:i/>
          <w:iCs/>
          <w:smallCaps w:val="0"/>
          <w:sz w:val="22"/>
          <w:szCs w:val="22"/>
          <w:lang w:val="en-GB"/>
        </w:rPr>
        <w:t>C</w:t>
      </w:r>
      <w:r w:rsidR="00950738">
        <w:rPr>
          <w:i/>
          <w:iCs/>
          <w:smallCaps w:val="0"/>
          <w:sz w:val="22"/>
          <w:szCs w:val="22"/>
          <w:lang w:val="en-GB"/>
        </w:rPr>
        <w:t>ontract</w:t>
      </w:r>
      <w:r w:rsidR="003441FD">
        <w:rPr>
          <w:i/>
          <w:iCs/>
          <w:smallCaps w:val="0"/>
          <w:sz w:val="22"/>
          <w:szCs w:val="22"/>
          <w:lang w:val="en-GB"/>
        </w:rPr>
        <w:t>-based Solution</w:t>
      </w:r>
      <w:r w:rsidR="00950738">
        <w:rPr>
          <w:i/>
          <w:iCs/>
          <w:smallCaps w:val="0"/>
          <w:sz w:val="22"/>
          <w:szCs w:val="22"/>
          <w:lang w:val="en-GB"/>
        </w:rPr>
        <w:t>: Russian Roulette Provisions</w:t>
      </w:r>
      <w:bookmarkEnd w:id="41"/>
      <w:bookmarkEnd w:id="42"/>
      <w:bookmarkEnd w:id="43"/>
      <w:bookmarkEnd w:id="44"/>
    </w:p>
    <w:p w14:paraId="2218A16B" w14:textId="6EA64ACB" w:rsidR="004F22E5" w:rsidRDefault="004F22E5" w:rsidP="004F22E5">
      <w:pPr>
        <w:ind w:firstLine="567"/>
        <w:jc w:val="both"/>
        <w:rPr>
          <w:iCs/>
          <w:sz w:val="22"/>
          <w:szCs w:val="22"/>
          <w:lang w:val="en-GB"/>
        </w:rPr>
      </w:pPr>
      <w:bookmarkStart w:id="45" w:name="_Toc66125114"/>
      <w:r>
        <w:rPr>
          <w:iCs/>
          <w:sz w:val="22"/>
          <w:szCs w:val="22"/>
          <w:lang w:val="en-GB"/>
        </w:rPr>
        <w:t xml:space="preserve">Contract can help prospective business partners to bring in a number of solutions aiming at either deflecting </w:t>
      </w:r>
      <w:r w:rsidR="00335DE3">
        <w:rPr>
          <w:iCs/>
          <w:sz w:val="22"/>
          <w:szCs w:val="22"/>
          <w:lang w:val="en-GB"/>
        </w:rPr>
        <w:t xml:space="preserve">the risk of </w:t>
      </w:r>
      <w:r>
        <w:rPr>
          <w:iCs/>
          <w:sz w:val="22"/>
          <w:szCs w:val="22"/>
          <w:lang w:val="en-GB"/>
        </w:rPr>
        <w:t>shareholder deadlock</w:t>
      </w:r>
      <w:r w:rsidR="00335DE3">
        <w:rPr>
          <w:iCs/>
          <w:sz w:val="22"/>
          <w:szCs w:val="22"/>
          <w:lang w:val="en-GB"/>
        </w:rPr>
        <w:t>s</w:t>
      </w:r>
      <w:r>
        <w:rPr>
          <w:iCs/>
          <w:sz w:val="22"/>
          <w:szCs w:val="22"/>
          <w:lang w:val="en-GB"/>
        </w:rPr>
        <w:t xml:space="preserve"> altogether </w:t>
      </w:r>
      <w:r w:rsidR="00A12674">
        <w:rPr>
          <w:iCs/>
          <w:sz w:val="22"/>
          <w:szCs w:val="22"/>
          <w:lang w:val="en-GB"/>
        </w:rPr>
        <w:t>from the onset of the business relationship</w:t>
      </w:r>
      <w:r w:rsidR="00420DC6">
        <w:rPr>
          <w:iCs/>
          <w:sz w:val="22"/>
          <w:szCs w:val="22"/>
          <w:lang w:val="en-GB"/>
        </w:rPr>
        <w:t>.</w:t>
      </w:r>
      <w:r>
        <w:rPr>
          <w:iCs/>
          <w:sz w:val="22"/>
          <w:szCs w:val="22"/>
          <w:lang w:val="en-GB"/>
        </w:rPr>
        <w:t xml:space="preserve"> </w:t>
      </w:r>
      <w:r w:rsidR="00A12674">
        <w:rPr>
          <w:iCs/>
          <w:sz w:val="22"/>
          <w:szCs w:val="22"/>
          <w:lang w:val="en-GB"/>
        </w:rPr>
        <w:t>Assigning a s</w:t>
      </w:r>
      <w:r>
        <w:rPr>
          <w:iCs/>
          <w:sz w:val="22"/>
          <w:szCs w:val="22"/>
          <w:lang w:val="en-GB"/>
        </w:rPr>
        <w:t>o-call</w:t>
      </w:r>
      <w:r w:rsidR="00A12674">
        <w:rPr>
          <w:iCs/>
          <w:sz w:val="22"/>
          <w:szCs w:val="22"/>
          <w:lang w:val="en-GB"/>
        </w:rPr>
        <w:t>ed</w:t>
      </w:r>
      <w:r>
        <w:rPr>
          <w:iCs/>
          <w:sz w:val="22"/>
          <w:szCs w:val="22"/>
          <w:lang w:val="en-GB"/>
        </w:rPr>
        <w:t xml:space="preserve"> “tie </w:t>
      </w:r>
      <w:r w:rsidR="00A12674">
        <w:rPr>
          <w:iCs/>
          <w:sz w:val="22"/>
          <w:szCs w:val="22"/>
          <w:lang w:val="en-GB"/>
        </w:rPr>
        <w:t>breaking vote</w:t>
      </w:r>
      <w:r>
        <w:rPr>
          <w:iCs/>
          <w:sz w:val="22"/>
          <w:szCs w:val="22"/>
          <w:lang w:val="en-GB"/>
        </w:rPr>
        <w:t>”</w:t>
      </w:r>
      <w:r w:rsidR="00A12674">
        <w:rPr>
          <w:iCs/>
          <w:sz w:val="22"/>
          <w:szCs w:val="22"/>
          <w:lang w:val="en-GB"/>
        </w:rPr>
        <w:t xml:space="preserve"> to one shareholder or a third party</w:t>
      </w:r>
      <w:r>
        <w:rPr>
          <w:iCs/>
          <w:sz w:val="22"/>
          <w:szCs w:val="22"/>
          <w:lang w:val="en-GB"/>
        </w:rPr>
        <w:t xml:space="preserve"> exemplify th</w:t>
      </w:r>
      <w:r w:rsidR="00420DC6">
        <w:rPr>
          <w:iCs/>
          <w:sz w:val="22"/>
          <w:szCs w:val="22"/>
          <w:lang w:val="en-GB"/>
        </w:rPr>
        <w:t>is</w:t>
      </w:r>
      <w:r>
        <w:rPr>
          <w:iCs/>
          <w:sz w:val="22"/>
          <w:szCs w:val="22"/>
          <w:lang w:val="en-GB"/>
        </w:rPr>
        <w:t xml:space="preserve"> sort of solutions.</w:t>
      </w:r>
      <w:r w:rsidR="006020B6" w:rsidRPr="00336C11">
        <w:rPr>
          <w:rStyle w:val="FootnoteReference"/>
          <w:rFonts w:ascii="Times New Roman" w:eastAsiaTheme="minorHAnsi" w:hAnsi="Times New Roman"/>
          <w:sz w:val="22"/>
          <w:szCs w:val="22"/>
          <w:lang w:val="en-GB"/>
        </w:rPr>
        <w:footnoteReference w:id="64"/>
      </w:r>
      <w:r>
        <w:rPr>
          <w:iCs/>
          <w:sz w:val="22"/>
          <w:szCs w:val="22"/>
          <w:lang w:val="en-GB"/>
        </w:rPr>
        <w:t xml:space="preserve"> </w:t>
      </w:r>
      <w:r w:rsidR="00420DC6">
        <w:rPr>
          <w:iCs/>
          <w:sz w:val="22"/>
          <w:szCs w:val="22"/>
          <w:lang w:val="en-GB"/>
        </w:rPr>
        <w:t xml:space="preserve">Rather than preventing the shareholder Contract can also seek to make sure that price-setting as regards buyout will  obey such a logic as to prove fair. </w:t>
      </w:r>
      <w:r>
        <w:rPr>
          <w:iCs/>
          <w:sz w:val="22"/>
          <w:szCs w:val="22"/>
          <w:lang w:val="en-GB"/>
        </w:rPr>
        <w:t xml:space="preserve">Russian Roulette provisions </w:t>
      </w:r>
      <w:r w:rsidR="00F4179D">
        <w:rPr>
          <w:iCs/>
          <w:sz w:val="22"/>
          <w:szCs w:val="22"/>
          <w:lang w:val="en-GB"/>
        </w:rPr>
        <w:t xml:space="preserve">and the ensuing buyout procedure </w:t>
      </w:r>
      <w:r>
        <w:rPr>
          <w:iCs/>
          <w:sz w:val="22"/>
          <w:szCs w:val="22"/>
          <w:lang w:val="en-GB"/>
        </w:rPr>
        <w:t xml:space="preserve">exemplify </w:t>
      </w:r>
      <w:r w:rsidR="00A12674">
        <w:rPr>
          <w:iCs/>
          <w:sz w:val="22"/>
          <w:szCs w:val="22"/>
          <w:lang w:val="en-GB"/>
        </w:rPr>
        <w:t xml:space="preserve">instead </w:t>
      </w:r>
      <w:r>
        <w:rPr>
          <w:iCs/>
          <w:sz w:val="22"/>
          <w:szCs w:val="22"/>
          <w:lang w:val="en-GB"/>
        </w:rPr>
        <w:t>the second sort of solutions.</w:t>
      </w:r>
    </w:p>
    <w:bookmarkEnd w:id="45"/>
    <w:p w14:paraId="7599DF30" w14:textId="77777777" w:rsidR="00030CC5" w:rsidRDefault="002A2261" w:rsidP="002A2261">
      <w:pPr>
        <w:ind w:firstLine="567"/>
        <w:jc w:val="both"/>
        <w:rPr>
          <w:rFonts w:eastAsiaTheme="minorHAnsi"/>
          <w:sz w:val="22"/>
          <w:szCs w:val="22"/>
          <w:lang w:val="en-GB"/>
        </w:rPr>
      </w:pPr>
      <w:r w:rsidRPr="00336C11">
        <w:rPr>
          <w:sz w:val="22"/>
          <w:szCs w:val="22"/>
          <w:lang w:val="en-GB"/>
        </w:rPr>
        <w:t xml:space="preserve">In </w:t>
      </w:r>
      <w:r w:rsidRPr="00336C11">
        <w:rPr>
          <w:rFonts w:eastAsiaTheme="minorHAnsi"/>
          <w:sz w:val="22"/>
          <w:szCs w:val="22"/>
          <w:lang w:val="en-GB"/>
        </w:rPr>
        <w:t xml:space="preserve">their simplest design, a Russian Roulette provision requires </w:t>
      </w:r>
      <w:r>
        <w:rPr>
          <w:rFonts w:eastAsiaTheme="minorHAnsi"/>
          <w:sz w:val="22"/>
          <w:szCs w:val="22"/>
          <w:lang w:val="en-GB"/>
        </w:rPr>
        <w:t xml:space="preserve">one </w:t>
      </w:r>
      <w:r w:rsidRPr="00336C11">
        <w:rPr>
          <w:rFonts w:eastAsiaTheme="minorHAnsi"/>
          <w:sz w:val="22"/>
          <w:szCs w:val="22"/>
          <w:lang w:val="en-GB"/>
        </w:rPr>
        <w:t>deadlocked shareholder (</w:t>
      </w:r>
      <w:r w:rsidRPr="00336C11">
        <w:rPr>
          <w:rFonts w:eastAsiaTheme="minorHAnsi"/>
          <w:i/>
          <w:sz w:val="22"/>
          <w:szCs w:val="22"/>
          <w:lang w:val="en-GB"/>
        </w:rPr>
        <w:t>i.e.</w:t>
      </w:r>
      <w:r w:rsidRPr="00336C11">
        <w:rPr>
          <w:rFonts w:eastAsiaTheme="minorHAnsi"/>
          <w:sz w:val="22"/>
          <w:szCs w:val="22"/>
          <w:lang w:val="en-GB"/>
        </w:rPr>
        <w:t>, the triggering shareholder) to serve a notice to the other shareholder (</w:t>
      </w:r>
      <w:r w:rsidRPr="00336C11">
        <w:rPr>
          <w:rFonts w:eastAsiaTheme="minorHAnsi"/>
          <w:i/>
          <w:sz w:val="22"/>
          <w:szCs w:val="22"/>
          <w:lang w:val="en-GB"/>
        </w:rPr>
        <w:t>i.e.</w:t>
      </w:r>
      <w:r w:rsidRPr="00336C11">
        <w:rPr>
          <w:rFonts w:eastAsiaTheme="minorHAnsi"/>
          <w:sz w:val="22"/>
          <w:szCs w:val="22"/>
          <w:lang w:val="en-GB"/>
        </w:rPr>
        <w:t xml:space="preserve">, the non-triggering shareholder), naming an all-cash price at which it values his interest in the business on a </w:t>
      </w:r>
      <w:r w:rsidRPr="00336C11">
        <w:rPr>
          <w:rFonts w:eastAsiaTheme="minorHAnsi"/>
          <w:i/>
          <w:sz w:val="22"/>
          <w:szCs w:val="22"/>
          <w:lang w:val="en-GB"/>
        </w:rPr>
        <w:t>pro rata</w:t>
      </w:r>
      <w:r w:rsidRPr="00336C11">
        <w:rPr>
          <w:rFonts w:eastAsiaTheme="minorHAnsi"/>
          <w:sz w:val="22"/>
          <w:szCs w:val="22"/>
          <w:lang w:val="en-GB"/>
        </w:rPr>
        <w:t xml:space="preserve"> basis.</w:t>
      </w:r>
      <w:r w:rsidRPr="00336C11">
        <w:rPr>
          <w:rStyle w:val="FootnoteReference"/>
          <w:rFonts w:ascii="Times New Roman" w:eastAsiaTheme="minorHAnsi" w:hAnsi="Times New Roman"/>
          <w:sz w:val="22"/>
          <w:szCs w:val="22"/>
          <w:lang w:val="en-GB"/>
        </w:rPr>
        <w:footnoteReference w:id="65"/>
      </w:r>
      <w:r w:rsidRPr="00336C11">
        <w:rPr>
          <w:rFonts w:eastAsiaTheme="minorHAnsi"/>
          <w:sz w:val="22"/>
          <w:szCs w:val="22"/>
          <w:lang w:val="en-GB"/>
        </w:rPr>
        <w:t xml:space="preserve"> </w:t>
      </w:r>
      <w:r>
        <w:rPr>
          <w:rFonts w:eastAsiaTheme="minorHAnsi"/>
          <w:sz w:val="22"/>
          <w:szCs w:val="22"/>
          <w:lang w:val="en-GB"/>
        </w:rPr>
        <w:t xml:space="preserve">In general, contract is such that either deadlocked </w:t>
      </w:r>
      <w:r>
        <w:rPr>
          <w:rFonts w:eastAsiaTheme="minorHAnsi"/>
          <w:sz w:val="22"/>
          <w:szCs w:val="22"/>
          <w:lang w:val="en-GB"/>
        </w:rPr>
        <w:lastRenderedPageBreak/>
        <w:t xml:space="preserve">shareholder can be the triggering shareholder. </w:t>
      </w:r>
      <w:r w:rsidRPr="00336C11">
        <w:rPr>
          <w:rFonts w:eastAsiaTheme="minorHAnsi"/>
          <w:sz w:val="22"/>
          <w:szCs w:val="22"/>
          <w:lang w:val="en-GB"/>
        </w:rPr>
        <w:t xml:space="preserve">Having received a given offer, the non-triggering shareholder can </w:t>
      </w:r>
      <w:r>
        <w:rPr>
          <w:rFonts w:eastAsiaTheme="minorHAnsi"/>
          <w:sz w:val="22"/>
          <w:szCs w:val="22"/>
          <w:lang w:val="en-GB"/>
        </w:rPr>
        <w:t xml:space="preserve">then </w:t>
      </w:r>
      <w:r w:rsidRPr="00336C11">
        <w:rPr>
          <w:rFonts w:eastAsiaTheme="minorHAnsi"/>
          <w:sz w:val="22"/>
          <w:szCs w:val="22"/>
          <w:lang w:val="en-GB"/>
        </w:rPr>
        <w:t xml:space="preserve">either buy the triggering shareholder out or sell out to him at the established </w:t>
      </w:r>
      <w:r w:rsidRPr="00336C11">
        <w:rPr>
          <w:rFonts w:eastAsiaTheme="minorHAnsi"/>
          <w:i/>
          <w:sz w:val="22"/>
          <w:szCs w:val="22"/>
          <w:lang w:val="en-GB"/>
        </w:rPr>
        <w:t>pro rata</w:t>
      </w:r>
      <w:r w:rsidRPr="00336C11">
        <w:rPr>
          <w:rFonts w:eastAsiaTheme="minorHAnsi"/>
          <w:sz w:val="22"/>
          <w:szCs w:val="22"/>
          <w:lang w:val="en-GB"/>
        </w:rPr>
        <w:t xml:space="preserve"> price. </w:t>
      </w:r>
    </w:p>
    <w:p w14:paraId="7A82F309" w14:textId="45CA1BD0" w:rsidR="002A2261" w:rsidRDefault="002A2261" w:rsidP="002A2261">
      <w:pPr>
        <w:ind w:firstLine="567"/>
        <w:jc w:val="both"/>
        <w:rPr>
          <w:sz w:val="22"/>
          <w:szCs w:val="22"/>
          <w:lang w:val="en-GB"/>
        </w:rPr>
      </w:pPr>
      <w:r w:rsidRPr="00336C11">
        <w:rPr>
          <w:sz w:val="22"/>
          <w:szCs w:val="22"/>
          <w:lang w:val="en-GB"/>
        </w:rPr>
        <w:t xml:space="preserve">From this stylized contractual arrangement originates a buyout procedure with an equally well-defined three-step structure. This buyout procedure begins with </w:t>
      </w:r>
      <w:r>
        <w:rPr>
          <w:sz w:val="22"/>
          <w:szCs w:val="22"/>
          <w:lang w:val="en-GB"/>
        </w:rPr>
        <w:t xml:space="preserve">the formalization of the decision to trigger the buyout procedure accompanied by </w:t>
      </w:r>
      <w:r w:rsidRPr="00336C11">
        <w:rPr>
          <w:sz w:val="22"/>
          <w:szCs w:val="22"/>
          <w:lang w:val="en-GB"/>
        </w:rPr>
        <w:t xml:space="preserve">an offer by the triggering shareholder to buy the other shareholder’s shareholding at the established </w:t>
      </w:r>
      <w:r w:rsidRPr="004E7898">
        <w:rPr>
          <w:i/>
          <w:sz w:val="22"/>
          <w:szCs w:val="22"/>
          <w:lang w:val="en-GB"/>
        </w:rPr>
        <w:t>pro rata</w:t>
      </w:r>
      <w:r>
        <w:rPr>
          <w:sz w:val="22"/>
          <w:szCs w:val="22"/>
          <w:lang w:val="en-GB"/>
        </w:rPr>
        <w:t xml:space="preserve"> </w:t>
      </w:r>
      <w:r w:rsidRPr="00336C11">
        <w:rPr>
          <w:sz w:val="22"/>
          <w:szCs w:val="22"/>
          <w:lang w:val="en-GB"/>
        </w:rPr>
        <w:t xml:space="preserve">price. Next, it has an intermediate step in the non-triggering shareholder’s </w:t>
      </w:r>
      <w:r>
        <w:rPr>
          <w:sz w:val="22"/>
          <w:szCs w:val="22"/>
          <w:lang w:val="en-GB"/>
        </w:rPr>
        <w:t xml:space="preserve">responsive </w:t>
      </w:r>
      <w:r w:rsidRPr="00336C11">
        <w:rPr>
          <w:sz w:val="22"/>
          <w:szCs w:val="22"/>
          <w:lang w:val="en-GB"/>
        </w:rPr>
        <w:t>decision to sell his own shareholding or buy the triggering shareholder’s shareholding. Finally, it necessarily ends with one deadlocked shareholder b</w:t>
      </w:r>
      <w:r>
        <w:rPr>
          <w:sz w:val="22"/>
          <w:szCs w:val="22"/>
          <w:lang w:val="en-GB"/>
        </w:rPr>
        <w:t xml:space="preserve">uying </w:t>
      </w:r>
      <w:r w:rsidRPr="00336C11">
        <w:rPr>
          <w:sz w:val="22"/>
          <w:szCs w:val="22"/>
          <w:lang w:val="en-GB"/>
        </w:rPr>
        <w:t>out the other deadlocked shareholder</w:t>
      </w:r>
      <w:r>
        <w:rPr>
          <w:sz w:val="22"/>
          <w:szCs w:val="22"/>
          <w:lang w:val="en-GB"/>
        </w:rPr>
        <w:t xml:space="preserve">, thereby eventually </w:t>
      </w:r>
      <w:r w:rsidRPr="00336C11">
        <w:rPr>
          <w:sz w:val="22"/>
          <w:szCs w:val="22"/>
          <w:lang w:val="en-GB"/>
        </w:rPr>
        <w:t>securing full control over the firm.</w:t>
      </w:r>
    </w:p>
    <w:p w14:paraId="1D7A900B" w14:textId="07B64764" w:rsidR="00F4179D" w:rsidRPr="00336C11" w:rsidRDefault="00F4179D" w:rsidP="00F4179D">
      <w:pPr>
        <w:ind w:firstLine="567"/>
        <w:jc w:val="both"/>
        <w:rPr>
          <w:sz w:val="22"/>
          <w:szCs w:val="22"/>
          <w:lang w:val="en-GB"/>
        </w:rPr>
      </w:pPr>
      <w:r>
        <w:rPr>
          <w:sz w:val="22"/>
          <w:szCs w:val="22"/>
          <w:lang w:val="en-GB"/>
        </w:rPr>
        <w:t xml:space="preserve">Such private ordering-based solutions </w:t>
      </w:r>
      <w:r w:rsidRPr="00336C11">
        <w:rPr>
          <w:sz w:val="22"/>
          <w:szCs w:val="22"/>
          <w:lang w:val="en-GB"/>
        </w:rPr>
        <w:t xml:space="preserve">vest the </w:t>
      </w:r>
      <w:r w:rsidR="001738B6">
        <w:rPr>
          <w:sz w:val="22"/>
          <w:szCs w:val="22"/>
          <w:lang w:val="en-GB"/>
        </w:rPr>
        <w:t xml:space="preserve">deadlocked </w:t>
      </w:r>
      <w:r w:rsidRPr="00336C11">
        <w:rPr>
          <w:sz w:val="22"/>
          <w:szCs w:val="22"/>
          <w:lang w:val="en-GB"/>
        </w:rPr>
        <w:t>shareholder</w:t>
      </w:r>
      <w:r w:rsidR="001738B6">
        <w:rPr>
          <w:sz w:val="22"/>
          <w:szCs w:val="22"/>
          <w:lang w:val="en-GB"/>
        </w:rPr>
        <w:t>s</w:t>
      </w:r>
      <w:r w:rsidRPr="00336C11">
        <w:rPr>
          <w:sz w:val="22"/>
          <w:szCs w:val="22"/>
          <w:lang w:val="en-GB"/>
        </w:rPr>
        <w:t xml:space="preserve"> with a call option upon the other shareholder’s shareholding – from now on</w:t>
      </w:r>
      <w:r w:rsidR="001738B6">
        <w:rPr>
          <w:sz w:val="22"/>
          <w:szCs w:val="22"/>
          <w:lang w:val="en-GB"/>
        </w:rPr>
        <w:t>wards</w:t>
      </w:r>
      <w:r w:rsidRPr="00336C11">
        <w:rPr>
          <w:sz w:val="22"/>
          <w:szCs w:val="22"/>
          <w:lang w:val="en-GB"/>
        </w:rPr>
        <w:t xml:space="preserve"> Call Option 1 and Call Option 2, respectively. Quite importantly, Call Option 1 and Call Option 2 exhibit two peculiar features: they are mutually intertwined as regards both </w:t>
      </w:r>
      <w:r w:rsidRPr="00336C11">
        <w:rPr>
          <w:i/>
          <w:sz w:val="22"/>
          <w:szCs w:val="22"/>
          <w:lang w:val="en-GB"/>
        </w:rPr>
        <w:t>their exercise</w:t>
      </w:r>
      <w:r w:rsidRPr="00336C11">
        <w:rPr>
          <w:sz w:val="22"/>
          <w:szCs w:val="22"/>
          <w:lang w:val="en-GB"/>
        </w:rPr>
        <w:t xml:space="preserve"> and </w:t>
      </w:r>
      <w:r w:rsidRPr="00336C11">
        <w:rPr>
          <w:i/>
          <w:sz w:val="22"/>
          <w:szCs w:val="22"/>
          <w:lang w:val="en-GB"/>
        </w:rPr>
        <w:t>price-setting</w:t>
      </w:r>
      <w:r w:rsidRPr="00336C11">
        <w:rPr>
          <w:sz w:val="22"/>
          <w:szCs w:val="22"/>
          <w:lang w:val="en-GB"/>
        </w:rPr>
        <w:t xml:space="preserve">. To begin with, Call option 1 is subject to the condition precedent that Call Option 2 will remain unexercised. (To be sure, the </w:t>
      </w:r>
      <w:r w:rsidR="001738B6">
        <w:rPr>
          <w:sz w:val="22"/>
          <w:szCs w:val="22"/>
          <w:lang w:val="en-GB"/>
        </w:rPr>
        <w:t xml:space="preserve">stabilization </w:t>
      </w:r>
      <w:r w:rsidRPr="00336C11">
        <w:rPr>
          <w:sz w:val="22"/>
          <w:szCs w:val="22"/>
          <w:lang w:val="en-GB"/>
        </w:rPr>
        <w:t>of the effects of the exercise of Call Option 1</w:t>
      </w:r>
      <w:r w:rsidR="001738B6">
        <w:rPr>
          <w:sz w:val="22"/>
          <w:szCs w:val="22"/>
          <w:lang w:val="en-GB"/>
        </w:rPr>
        <w:t xml:space="preserve"> </w:t>
      </w:r>
      <w:r w:rsidRPr="00336C11">
        <w:rPr>
          <w:sz w:val="22"/>
          <w:szCs w:val="22"/>
          <w:lang w:val="en-GB"/>
        </w:rPr>
        <w:t>is subjected to the condition precedent that Call Option 2 will remain unexercised). Symmetrically, Call Option 2 is subject to the condition precedent that the triggering shareholder will serve the non-triggering shareholder a notice to exercise Call Option 1. Besides, Call Option 1’ and Call Option 2’ strike prices are reflexive by design: that is, Call Option 2’s strike price P</w:t>
      </w:r>
      <w:r w:rsidRPr="00336C11">
        <w:rPr>
          <w:sz w:val="22"/>
          <w:szCs w:val="22"/>
          <w:vertAlign w:val="subscript"/>
          <w:lang w:val="en-GB"/>
        </w:rPr>
        <w:t>2</w:t>
      </w:r>
      <w:r w:rsidRPr="00336C11">
        <w:rPr>
          <w:sz w:val="22"/>
          <w:szCs w:val="22"/>
          <w:lang w:val="en-GB"/>
        </w:rPr>
        <w:t xml:space="preserve"> mirrors Call Option 1’ strike price P</w:t>
      </w:r>
      <w:r w:rsidRPr="00336C11">
        <w:rPr>
          <w:sz w:val="22"/>
          <w:szCs w:val="22"/>
          <w:vertAlign w:val="subscript"/>
          <w:lang w:val="en-GB"/>
        </w:rPr>
        <w:t>2</w:t>
      </w:r>
      <w:r w:rsidRPr="00336C11">
        <w:rPr>
          <w:sz w:val="22"/>
          <w:szCs w:val="22"/>
          <w:lang w:val="en-GB"/>
        </w:rPr>
        <w:t>, such that P</w:t>
      </w:r>
      <w:r w:rsidRPr="00336C11">
        <w:rPr>
          <w:sz w:val="22"/>
          <w:szCs w:val="22"/>
          <w:vertAlign w:val="subscript"/>
          <w:lang w:val="en-GB"/>
        </w:rPr>
        <w:t>1</w:t>
      </w:r>
      <w:r w:rsidRPr="00336C11">
        <w:rPr>
          <w:sz w:val="22"/>
          <w:szCs w:val="22"/>
          <w:lang w:val="en-GB"/>
        </w:rPr>
        <w:t>=P</w:t>
      </w:r>
      <w:r w:rsidRPr="00336C11">
        <w:rPr>
          <w:sz w:val="22"/>
          <w:szCs w:val="22"/>
          <w:vertAlign w:val="subscript"/>
          <w:lang w:val="en-GB"/>
        </w:rPr>
        <w:t>2</w:t>
      </w:r>
      <w:r w:rsidRPr="00336C11">
        <w:rPr>
          <w:sz w:val="22"/>
          <w:szCs w:val="22"/>
          <w:lang w:val="en-GB"/>
        </w:rPr>
        <w:t xml:space="preserve">. </w:t>
      </w:r>
    </w:p>
    <w:p w14:paraId="4DBBE11C" w14:textId="24CC5523" w:rsidR="00F4179D" w:rsidRPr="00336C11" w:rsidRDefault="00F4179D" w:rsidP="006A00BB">
      <w:pPr>
        <w:ind w:firstLine="567"/>
        <w:jc w:val="both"/>
        <w:rPr>
          <w:rFonts w:eastAsiaTheme="minorHAnsi"/>
          <w:sz w:val="22"/>
          <w:szCs w:val="22"/>
          <w:lang w:val="en-GB"/>
        </w:rPr>
      </w:pPr>
      <w:r w:rsidRPr="00336C11">
        <w:rPr>
          <w:sz w:val="22"/>
          <w:szCs w:val="22"/>
          <w:lang w:val="en-GB"/>
        </w:rPr>
        <w:t>The mechanics featuring these two crossing call-options are in turn responsible for generating very peculiar dynamics</w:t>
      </w:r>
      <w:r>
        <w:rPr>
          <w:sz w:val="22"/>
          <w:szCs w:val="22"/>
          <w:lang w:val="en-GB"/>
        </w:rPr>
        <w:t xml:space="preserve"> that could different depending on the symmetric or asymmetric nature of the bargaining environment.</w:t>
      </w:r>
    </w:p>
    <w:p w14:paraId="7DBFA6FE" w14:textId="7688E617" w:rsidR="007D4FDF" w:rsidRPr="00336C11" w:rsidRDefault="009B0CBD" w:rsidP="007D4FDF">
      <w:pPr>
        <w:pStyle w:val="Heading2"/>
        <w:numPr>
          <w:ilvl w:val="1"/>
          <w:numId w:val="28"/>
        </w:numPr>
        <w:spacing w:before="480"/>
        <w:ind w:left="567" w:hanging="567"/>
        <w:rPr>
          <w:iCs/>
          <w:sz w:val="22"/>
          <w:szCs w:val="22"/>
          <w:lang w:val="en-GB"/>
        </w:rPr>
      </w:pPr>
      <w:bookmarkStart w:id="46" w:name="_Toc66125115"/>
      <w:bookmarkStart w:id="47" w:name="_Toc67392679"/>
      <w:bookmarkStart w:id="48" w:name="_Toc64465223"/>
      <w:r>
        <w:rPr>
          <w:iCs/>
          <w:sz w:val="22"/>
          <w:szCs w:val="22"/>
          <w:lang w:val="en-GB"/>
        </w:rPr>
        <w:t>Symmetric Bargaining Environment</w:t>
      </w:r>
      <w:bookmarkEnd w:id="46"/>
      <w:bookmarkEnd w:id="47"/>
    </w:p>
    <w:p w14:paraId="2DAE5185" w14:textId="4CEA66E6" w:rsidR="00F4179D" w:rsidRDefault="00F4179D" w:rsidP="007D4FDF">
      <w:pPr>
        <w:ind w:firstLine="567"/>
        <w:jc w:val="both"/>
        <w:rPr>
          <w:sz w:val="22"/>
          <w:szCs w:val="22"/>
          <w:lang w:val="en-GB"/>
        </w:rPr>
      </w:pPr>
      <w:r>
        <w:rPr>
          <w:sz w:val="22"/>
          <w:szCs w:val="22"/>
          <w:lang w:val="en-GB"/>
        </w:rPr>
        <w:t xml:space="preserve">In a symmetric bargaining environment, Russian Roulette provisions generate virtuous dynamics that lead to fair buyouts. </w:t>
      </w:r>
    </w:p>
    <w:p w14:paraId="304D7661" w14:textId="426EE2D7" w:rsidR="00D0186B" w:rsidRDefault="00F4179D" w:rsidP="007D4FDF">
      <w:pPr>
        <w:ind w:firstLine="567"/>
        <w:jc w:val="both"/>
        <w:rPr>
          <w:sz w:val="22"/>
          <w:szCs w:val="22"/>
          <w:lang w:val="en-GB"/>
        </w:rPr>
      </w:pPr>
      <w:r>
        <w:rPr>
          <w:sz w:val="22"/>
          <w:szCs w:val="22"/>
          <w:lang w:val="en-GB"/>
        </w:rPr>
        <w:t>T</w:t>
      </w:r>
      <w:r w:rsidR="007D4FDF" w:rsidRPr="00336C11">
        <w:rPr>
          <w:sz w:val="22"/>
          <w:szCs w:val="22"/>
          <w:lang w:val="en-GB"/>
        </w:rPr>
        <w:t xml:space="preserve">he very fact that Call Option 1 is contingent upon Call Option 2 non-exercise makes impossible for the triggering shareholder to know ex ante whether </w:t>
      </w:r>
      <w:r w:rsidR="002C6F89">
        <w:rPr>
          <w:sz w:val="22"/>
          <w:szCs w:val="22"/>
          <w:lang w:val="en-GB"/>
        </w:rPr>
        <w:t xml:space="preserve">at the end of </w:t>
      </w:r>
      <w:r w:rsidR="007D4FDF" w:rsidRPr="00336C11">
        <w:rPr>
          <w:sz w:val="22"/>
          <w:szCs w:val="22"/>
          <w:lang w:val="en-GB"/>
        </w:rPr>
        <w:t xml:space="preserve">the buyout procedure </w:t>
      </w:r>
      <w:r w:rsidR="002C6F89">
        <w:rPr>
          <w:sz w:val="22"/>
          <w:szCs w:val="22"/>
          <w:lang w:val="en-GB"/>
        </w:rPr>
        <w:t>he w</w:t>
      </w:r>
      <w:r w:rsidR="002C6F89" w:rsidRPr="00336C11">
        <w:rPr>
          <w:sz w:val="22"/>
          <w:szCs w:val="22"/>
          <w:lang w:val="en-GB"/>
        </w:rPr>
        <w:t xml:space="preserve">ill </w:t>
      </w:r>
      <w:r w:rsidR="002C6F89">
        <w:rPr>
          <w:sz w:val="22"/>
          <w:szCs w:val="22"/>
          <w:lang w:val="en-GB"/>
        </w:rPr>
        <w:t xml:space="preserve">be </w:t>
      </w:r>
      <w:r w:rsidR="007D4FDF" w:rsidRPr="00336C11">
        <w:rPr>
          <w:sz w:val="22"/>
          <w:szCs w:val="22"/>
          <w:lang w:val="en-GB"/>
        </w:rPr>
        <w:t>the seller of his own shareholding or the buyer of the non-triggering shareholder’s shareholding. Second, the reflexive nature of P</w:t>
      </w:r>
      <w:r w:rsidR="007D4FDF" w:rsidRPr="00336C11">
        <w:rPr>
          <w:sz w:val="22"/>
          <w:szCs w:val="22"/>
          <w:vertAlign w:val="subscript"/>
          <w:lang w:val="en-GB"/>
        </w:rPr>
        <w:t>1</w:t>
      </w:r>
      <w:r w:rsidR="007D4FDF" w:rsidRPr="00336C11">
        <w:rPr>
          <w:sz w:val="22"/>
          <w:szCs w:val="22"/>
          <w:lang w:val="en-GB"/>
        </w:rPr>
        <w:t xml:space="preserve"> and P</w:t>
      </w:r>
      <w:r w:rsidR="007D4FDF" w:rsidRPr="00336C11">
        <w:rPr>
          <w:sz w:val="22"/>
          <w:szCs w:val="22"/>
          <w:vertAlign w:val="subscript"/>
          <w:lang w:val="en-GB"/>
        </w:rPr>
        <w:t>2</w:t>
      </w:r>
      <w:r w:rsidR="007D4FDF" w:rsidRPr="00336C11">
        <w:rPr>
          <w:sz w:val="22"/>
          <w:szCs w:val="22"/>
          <w:lang w:val="en-GB"/>
        </w:rPr>
        <w:t xml:space="preserve"> is such that </w:t>
      </w:r>
      <w:r w:rsidR="006A3178" w:rsidRPr="00336C11">
        <w:rPr>
          <w:sz w:val="22"/>
          <w:szCs w:val="22"/>
          <w:lang w:val="en-GB"/>
        </w:rPr>
        <w:t>the triggering shareholder’s decision to name a given price P</w:t>
      </w:r>
      <w:r w:rsidR="006A3178" w:rsidRPr="00336C11">
        <w:rPr>
          <w:sz w:val="22"/>
          <w:szCs w:val="22"/>
          <w:vertAlign w:val="subscript"/>
          <w:lang w:val="en-GB"/>
        </w:rPr>
        <w:t>1</w:t>
      </w:r>
      <w:r w:rsidR="006A3178">
        <w:rPr>
          <w:sz w:val="22"/>
          <w:szCs w:val="22"/>
          <w:vertAlign w:val="subscript"/>
          <w:lang w:val="en-GB"/>
        </w:rPr>
        <w:t xml:space="preserve"> </w:t>
      </w:r>
      <w:r w:rsidR="006A3178">
        <w:rPr>
          <w:sz w:val="22"/>
          <w:szCs w:val="22"/>
          <w:lang w:val="en-GB"/>
        </w:rPr>
        <w:t xml:space="preserve">will inform </w:t>
      </w:r>
      <w:r w:rsidR="007D4FDF" w:rsidRPr="00336C11">
        <w:rPr>
          <w:sz w:val="22"/>
          <w:szCs w:val="22"/>
          <w:lang w:val="en-GB"/>
        </w:rPr>
        <w:t xml:space="preserve">the non-triggering shareholder’s decision to exercise or leave unexercised Call Option </w:t>
      </w:r>
      <w:r w:rsidR="006A3178">
        <w:rPr>
          <w:sz w:val="22"/>
          <w:szCs w:val="22"/>
          <w:lang w:val="en-GB"/>
        </w:rPr>
        <w:t>2</w:t>
      </w:r>
      <w:r w:rsidR="007D4FDF" w:rsidRPr="00336C11">
        <w:rPr>
          <w:sz w:val="22"/>
          <w:szCs w:val="22"/>
          <w:lang w:val="en-GB"/>
        </w:rPr>
        <w:t xml:space="preserve">. </w:t>
      </w:r>
    </w:p>
    <w:p w14:paraId="703F9E97" w14:textId="3301305E" w:rsidR="007D4FDF" w:rsidRPr="00336C11" w:rsidRDefault="007D4FDF" w:rsidP="007D4FDF">
      <w:pPr>
        <w:ind w:firstLine="567"/>
        <w:jc w:val="both"/>
        <w:rPr>
          <w:sz w:val="22"/>
          <w:szCs w:val="22"/>
          <w:lang w:val="en-GB"/>
        </w:rPr>
      </w:pPr>
      <w:r w:rsidRPr="00336C11">
        <w:rPr>
          <w:sz w:val="22"/>
          <w:szCs w:val="22"/>
          <w:lang w:val="en-GB"/>
        </w:rPr>
        <w:t xml:space="preserve">Assume that, in an attempt to pursue the interest of an </w:t>
      </w:r>
      <w:r w:rsidRPr="00336C11">
        <w:rPr>
          <w:i/>
          <w:iCs/>
          <w:sz w:val="22"/>
          <w:szCs w:val="22"/>
          <w:lang w:val="en-GB"/>
        </w:rPr>
        <w:t>a priori</w:t>
      </w:r>
      <w:r w:rsidRPr="00336C11">
        <w:rPr>
          <w:sz w:val="22"/>
          <w:szCs w:val="22"/>
          <w:lang w:val="en-GB"/>
        </w:rPr>
        <w:t xml:space="preserve"> designated buyer,</w:t>
      </w:r>
      <w:r w:rsidRPr="00336C11">
        <w:rPr>
          <w:rStyle w:val="FootnoteReference"/>
          <w:rFonts w:ascii="Times New Roman" w:hAnsi="Times New Roman"/>
          <w:sz w:val="22"/>
          <w:szCs w:val="22"/>
          <w:lang w:val="en-GB"/>
        </w:rPr>
        <w:footnoteReference w:id="66"/>
      </w:r>
      <w:r w:rsidRPr="00336C11">
        <w:rPr>
          <w:sz w:val="22"/>
          <w:szCs w:val="22"/>
          <w:lang w:val="en-GB"/>
        </w:rPr>
        <w:t xml:space="preserve"> the triggering shareholder exercises Call Option 1 at a price P</w:t>
      </w:r>
      <w:r w:rsidRPr="00336C11">
        <w:rPr>
          <w:sz w:val="22"/>
          <w:szCs w:val="22"/>
          <w:vertAlign w:val="subscript"/>
          <w:lang w:val="en-GB"/>
        </w:rPr>
        <w:t>1</w:t>
      </w:r>
      <w:r w:rsidRPr="00336C11">
        <w:rPr>
          <w:sz w:val="22"/>
          <w:szCs w:val="22"/>
          <w:lang w:val="en-GB"/>
        </w:rPr>
        <w:t xml:space="preserve">&lt;PDFV/2 in order to buy the non-triggering shareholder out at a discount. The non-triggering shareholder would then have obvious incentives to choose to be himself the buyer and, thus, buy the triggering shareholder out for a symmetrically </w:t>
      </w:r>
      <w:r w:rsidR="002C6F89">
        <w:rPr>
          <w:sz w:val="22"/>
          <w:szCs w:val="22"/>
          <w:lang w:val="en-GB"/>
        </w:rPr>
        <w:t xml:space="preserve">unfair </w:t>
      </w:r>
      <w:r w:rsidRPr="00336C11">
        <w:rPr>
          <w:sz w:val="22"/>
          <w:szCs w:val="22"/>
          <w:lang w:val="en-GB"/>
        </w:rPr>
        <w:t>price. By buying the triggering shareholder out at a price P</w:t>
      </w:r>
      <w:r w:rsidRPr="00336C11">
        <w:rPr>
          <w:sz w:val="22"/>
          <w:szCs w:val="22"/>
          <w:vertAlign w:val="subscript"/>
          <w:lang w:val="en-GB"/>
        </w:rPr>
        <w:t>2</w:t>
      </w:r>
      <w:r w:rsidRPr="00336C11">
        <w:rPr>
          <w:sz w:val="22"/>
          <w:szCs w:val="22"/>
          <w:lang w:val="en-GB"/>
        </w:rPr>
        <w:t>&lt;PDFV/2, the non-triggering shareholder would make a win W equal to the difference between the value of the triggering shareholder’s shareholding PDFV/2 and the price that he has paid – that is, W=PDFV/2-P</w:t>
      </w:r>
      <w:r w:rsidRPr="00336C11">
        <w:rPr>
          <w:sz w:val="22"/>
          <w:szCs w:val="22"/>
          <w:vertAlign w:val="subscript"/>
          <w:lang w:val="en-GB"/>
        </w:rPr>
        <w:t>2</w:t>
      </w:r>
      <w:r w:rsidRPr="00336C11">
        <w:rPr>
          <w:sz w:val="22"/>
          <w:szCs w:val="22"/>
          <w:lang w:val="en-GB"/>
        </w:rPr>
        <w:t xml:space="preserve">. Now assume instead that, in trying to advance the interest of an </w:t>
      </w:r>
      <w:r w:rsidRPr="00336C11">
        <w:rPr>
          <w:i/>
          <w:iCs/>
          <w:sz w:val="22"/>
          <w:szCs w:val="22"/>
          <w:lang w:val="en-GB"/>
        </w:rPr>
        <w:t>a priori</w:t>
      </w:r>
      <w:r w:rsidRPr="00336C11">
        <w:rPr>
          <w:sz w:val="22"/>
          <w:szCs w:val="22"/>
          <w:lang w:val="en-GB"/>
        </w:rPr>
        <w:t xml:space="preserve"> designated seller,</w:t>
      </w:r>
      <w:r w:rsidRPr="00336C11">
        <w:rPr>
          <w:rStyle w:val="FootnoteReference"/>
          <w:rFonts w:ascii="Times New Roman" w:hAnsi="Times New Roman"/>
          <w:sz w:val="22"/>
          <w:szCs w:val="22"/>
          <w:lang w:val="en-GB"/>
        </w:rPr>
        <w:footnoteReference w:id="67"/>
      </w:r>
      <w:r w:rsidRPr="00336C11">
        <w:rPr>
          <w:sz w:val="22"/>
          <w:szCs w:val="22"/>
          <w:lang w:val="en-GB"/>
        </w:rPr>
        <w:t xml:space="preserve"> the triggering shareholder exercises Call Option 1 at a price P</w:t>
      </w:r>
      <w:r w:rsidRPr="00336C11">
        <w:rPr>
          <w:sz w:val="22"/>
          <w:szCs w:val="22"/>
          <w:vertAlign w:val="subscript"/>
          <w:lang w:val="en-GB"/>
        </w:rPr>
        <w:t>1</w:t>
      </w:r>
      <w:r w:rsidRPr="00336C11">
        <w:rPr>
          <w:sz w:val="22"/>
          <w:szCs w:val="22"/>
          <w:lang w:val="en-GB"/>
        </w:rPr>
        <w:t xml:space="preserve">&gt;PDFV/2, so to </w:t>
      </w:r>
      <w:r w:rsidR="002C6F89">
        <w:rPr>
          <w:sz w:val="22"/>
          <w:szCs w:val="22"/>
          <w:lang w:val="en-GB"/>
        </w:rPr>
        <w:t xml:space="preserve">try to </w:t>
      </w:r>
      <w:r w:rsidRPr="00336C11">
        <w:rPr>
          <w:sz w:val="22"/>
          <w:szCs w:val="22"/>
          <w:lang w:val="en-GB"/>
        </w:rPr>
        <w:t xml:space="preserve">sell out for a premium. The non-triggering shareholder would then have obvious incentives to choose to be himself a seller and, </w:t>
      </w:r>
      <w:r w:rsidR="002C6F89">
        <w:rPr>
          <w:sz w:val="22"/>
          <w:szCs w:val="22"/>
          <w:lang w:val="en-GB"/>
        </w:rPr>
        <w:t>to this end</w:t>
      </w:r>
      <w:r w:rsidRPr="00336C11">
        <w:rPr>
          <w:sz w:val="22"/>
          <w:szCs w:val="22"/>
          <w:lang w:val="en-GB"/>
        </w:rPr>
        <w:t xml:space="preserve">, not to exercise Call Option 2, so to walk away with a top-up. By selling his </w:t>
      </w:r>
      <w:r w:rsidRPr="00336C11">
        <w:rPr>
          <w:sz w:val="22"/>
          <w:szCs w:val="22"/>
          <w:lang w:val="en-GB"/>
        </w:rPr>
        <w:lastRenderedPageBreak/>
        <w:t>shareholding at a price P</w:t>
      </w:r>
      <w:r w:rsidRPr="00336C11">
        <w:rPr>
          <w:sz w:val="22"/>
          <w:szCs w:val="22"/>
          <w:vertAlign w:val="subscript"/>
          <w:lang w:val="en-GB"/>
        </w:rPr>
        <w:t>1</w:t>
      </w:r>
      <w:r w:rsidRPr="00336C11">
        <w:rPr>
          <w:sz w:val="22"/>
          <w:szCs w:val="22"/>
          <w:lang w:val="en-GB"/>
        </w:rPr>
        <w:t>&gt;PDFV/2, the non-triggering shareholder would in fact make a win W equal to the difference between the value of his own shareholding and the price that he has pocketed – that is, W=</w:t>
      </w:r>
      <w:r w:rsidR="002C6F89" w:rsidRPr="002C6F89">
        <w:rPr>
          <w:sz w:val="22"/>
          <w:szCs w:val="22"/>
          <w:lang w:val="en-GB"/>
        </w:rPr>
        <w:t xml:space="preserve"> </w:t>
      </w:r>
      <w:r w:rsidR="002C6F89" w:rsidRPr="00336C11">
        <w:rPr>
          <w:sz w:val="22"/>
          <w:szCs w:val="22"/>
          <w:lang w:val="en-GB"/>
        </w:rPr>
        <w:t>P</w:t>
      </w:r>
      <w:r w:rsidR="002C6F89" w:rsidRPr="00336C11">
        <w:rPr>
          <w:sz w:val="22"/>
          <w:szCs w:val="22"/>
          <w:vertAlign w:val="subscript"/>
          <w:lang w:val="en-GB"/>
        </w:rPr>
        <w:t>1</w:t>
      </w:r>
      <w:r w:rsidR="002C6F89" w:rsidRPr="002C6F89">
        <w:rPr>
          <w:sz w:val="22"/>
          <w:szCs w:val="22"/>
          <w:lang w:val="en-GB"/>
        </w:rPr>
        <w:t>-</w:t>
      </w:r>
      <w:r w:rsidRPr="00336C11">
        <w:rPr>
          <w:sz w:val="22"/>
          <w:szCs w:val="22"/>
          <w:lang w:val="en-GB"/>
        </w:rPr>
        <w:t>PDFV/2</w:t>
      </w:r>
      <w:r w:rsidRPr="002C6F89">
        <w:rPr>
          <w:sz w:val="22"/>
          <w:szCs w:val="22"/>
          <w:lang w:val="en-GB"/>
        </w:rPr>
        <w:t>.</w:t>
      </w:r>
      <w:r w:rsidRPr="00336C11">
        <w:rPr>
          <w:sz w:val="22"/>
          <w:szCs w:val="22"/>
          <w:lang w:val="en-GB"/>
        </w:rPr>
        <w:t xml:space="preserve"> </w:t>
      </w:r>
    </w:p>
    <w:p w14:paraId="53B3FB38" w14:textId="6B493009" w:rsidR="007D4FDF" w:rsidRPr="00336C11" w:rsidRDefault="007D4FDF" w:rsidP="007D4FDF">
      <w:pPr>
        <w:spacing w:before="240" w:after="240"/>
        <w:ind w:left="567" w:right="567"/>
        <w:jc w:val="both"/>
        <w:rPr>
          <w:b/>
          <w:i/>
          <w:sz w:val="20"/>
          <w:szCs w:val="22"/>
          <w:lang w:val="en-GB"/>
        </w:rPr>
      </w:pPr>
      <w:r w:rsidRPr="00336C11">
        <w:rPr>
          <w:b/>
          <w:i/>
          <w:sz w:val="20"/>
          <w:szCs w:val="22"/>
          <w:lang w:val="en-GB"/>
        </w:rPr>
        <w:t xml:space="preserve">Example. </w:t>
      </w:r>
      <w:r w:rsidRPr="00336C11">
        <w:rPr>
          <w:sz w:val="20"/>
          <w:szCs w:val="22"/>
          <w:lang w:val="en-GB"/>
        </w:rPr>
        <w:t>Alfa is a deadlocked firm with two shareholders A and B in the vests of the triggering shareholder and non-triggering shareholder, respectively. Alfa’s DFV and PDFV stand at 400 and 500, respectively. If A were to name a price P</w:t>
      </w:r>
      <w:r w:rsidRPr="00D0186B">
        <w:rPr>
          <w:sz w:val="20"/>
          <w:szCs w:val="22"/>
          <w:vertAlign w:val="subscript"/>
          <w:lang w:val="en-GB"/>
        </w:rPr>
        <w:t>1</w:t>
      </w:r>
      <w:r w:rsidRPr="00336C11">
        <w:rPr>
          <w:sz w:val="20"/>
          <w:szCs w:val="22"/>
          <w:lang w:val="en-GB"/>
        </w:rPr>
        <w:t>&lt;500</w:t>
      </w:r>
      <w:r w:rsidR="008F0F04">
        <w:rPr>
          <w:sz w:val="20"/>
          <w:szCs w:val="22"/>
          <w:lang w:val="en-GB"/>
        </w:rPr>
        <w:t>/2</w:t>
      </w:r>
      <w:r w:rsidRPr="00336C11">
        <w:rPr>
          <w:sz w:val="20"/>
          <w:szCs w:val="22"/>
          <w:lang w:val="en-GB"/>
        </w:rPr>
        <w:t xml:space="preserve"> (say, e.g., P</w:t>
      </w:r>
      <w:r w:rsidRPr="00D0186B">
        <w:rPr>
          <w:sz w:val="20"/>
          <w:szCs w:val="22"/>
          <w:vertAlign w:val="subscript"/>
          <w:lang w:val="en-GB"/>
        </w:rPr>
        <w:t>1</w:t>
      </w:r>
      <w:r w:rsidRPr="00336C11">
        <w:rPr>
          <w:sz w:val="20"/>
          <w:szCs w:val="22"/>
          <w:lang w:val="en-GB"/>
        </w:rPr>
        <w:t>=240), B would rationally decide to exercise his Call Option 2 at a price P</w:t>
      </w:r>
      <w:r w:rsidRPr="00D0186B">
        <w:rPr>
          <w:sz w:val="20"/>
          <w:szCs w:val="22"/>
          <w:vertAlign w:val="subscript"/>
          <w:lang w:val="en-GB"/>
        </w:rPr>
        <w:t>2</w:t>
      </w:r>
      <w:r w:rsidRPr="00336C11">
        <w:rPr>
          <w:sz w:val="20"/>
          <w:szCs w:val="22"/>
          <w:lang w:val="en-GB"/>
        </w:rPr>
        <w:t>=P</w:t>
      </w:r>
      <w:r w:rsidRPr="00D0186B">
        <w:rPr>
          <w:sz w:val="20"/>
          <w:szCs w:val="22"/>
          <w:vertAlign w:val="subscript"/>
          <w:lang w:val="en-GB"/>
        </w:rPr>
        <w:t>1</w:t>
      </w:r>
      <w:r w:rsidRPr="00336C11">
        <w:rPr>
          <w:sz w:val="20"/>
          <w:szCs w:val="22"/>
          <w:lang w:val="en-GB"/>
        </w:rPr>
        <w:t xml:space="preserve"> (with P</w:t>
      </w:r>
      <w:r w:rsidRPr="00D0186B">
        <w:rPr>
          <w:sz w:val="20"/>
          <w:szCs w:val="22"/>
          <w:vertAlign w:val="subscript"/>
          <w:lang w:val="en-GB"/>
        </w:rPr>
        <w:t>2</w:t>
      </w:r>
      <w:r w:rsidRPr="00336C11">
        <w:rPr>
          <w:sz w:val="20"/>
          <w:szCs w:val="22"/>
          <w:lang w:val="en-GB"/>
        </w:rPr>
        <w:t>=240)</w:t>
      </w:r>
      <w:r w:rsidR="002C6F89">
        <w:rPr>
          <w:sz w:val="20"/>
          <w:szCs w:val="22"/>
          <w:lang w:val="en-GB"/>
        </w:rPr>
        <w:t>. B would then</w:t>
      </w:r>
      <w:r w:rsidRPr="00336C11">
        <w:rPr>
          <w:sz w:val="20"/>
          <w:szCs w:val="22"/>
          <w:lang w:val="en-GB"/>
        </w:rPr>
        <w:t xml:space="preserve"> buy </w:t>
      </w:r>
      <w:r w:rsidR="002C6F89">
        <w:rPr>
          <w:sz w:val="20"/>
          <w:szCs w:val="22"/>
          <w:lang w:val="en-GB"/>
        </w:rPr>
        <w:t xml:space="preserve">A </w:t>
      </w:r>
      <w:r w:rsidRPr="00336C11">
        <w:rPr>
          <w:sz w:val="20"/>
          <w:szCs w:val="22"/>
          <w:lang w:val="en-GB"/>
        </w:rPr>
        <w:t>him out for a price that does not reflect his pro rata share of post-deadlock firm value (for PDFV/2=250 and 240&lt;250). Symmetrically, if A were to name a price such that P1&gt;</w:t>
      </w:r>
      <w:r w:rsidR="008F0F04">
        <w:rPr>
          <w:sz w:val="20"/>
          <w:szCs w:val="22"/>
          <w:lang w:val="en-GB"/>
        </w:rPr>
        <w:t>500/2</w:t>
      </w:r>
      <w:r w:rsidR="008F0F04" w:rsidRPr="00336C11">
        <w:rPr>
          <w:sz w:val="20"/>
          <w:szCs w:val="22"/>
          <w:lang w:val="en-GB"/>
        </w:rPr>
        <w:t xml:space="preserve"> </w:t>
      </w:r>
      <w:r w:rsidRPr="00336C11">
        <w:rPr>
          <w:sz w:val="20"/>
          <w:szCs w:val="22"/>
          <w:lang w:val="en-GB"/>
        </w:rPr>
        <w:t>(say, e.g., 260), B would decide not to exercise his Call Option 2 and sell out to him for more than PDFV/2</w:t>
      </w:r>
      <w:r w:rsidR="002C6F89">
        <w:rPr>
          <w:sz w:val="20"/>
          <w:szCs w:val="22"/>
          <w:lang w:val="en-GB"/>
        </w:rPr>
        <w:t>. B would then accept to</w:t>
      </w:r>
      <w:r w:rsidR="002C6F89" w:rsidRPr="00336C11">
        <w:rPr>
          <w:sz w:val="20"/>
          <w:szCs w:val="22"/>
          <w:lang w:val="en-GB"/>
        </w:rPr>
        <w:t xml:space="preserve"> </w:t>
      </w:r>
      <w:r w:rsidR="002C6F89">
        <w:rPr>
          <w:sz w:val="20"/>
          <w:szCs w:val="22"/>
          <w:lang w:val="en-GB"/>
        </w:rPr>
        <w:t xml:space="preserve">be bought </w:t>
      </w:r>
      <w:r w:rsidR="002C6F89" w:rsidRPr="00336C11">
        <w:rPr>
          <w:sz w:val="20"/>
          <w:szCs w:val="22"/>
          <w:lang w:val="en-GB"/>
        </w:rPr>
        <w:t xml:space="preserve">out for a price that </w:t>
      </w:r>
      <w:r w:rsidR="002C6F89">
        <w:rPr>
          <w:sz w:val="20"/>
          <w:szCs w:val="22"/>
          <w:lang w:val="en-GB"/>
        </w:rPr>
        <w:t xml:space="preserve">again </w:t>
      </w:r>
      <w:r w:rsidR="002C6F89" w:rsidRPr="00336C11">
        <w:rPr>
          <w:sz w:val="20"/>
          <w:szCs w:val="22"/>
          <w:lang w:val="en-GB"/>
        </w:rPr>
        <w:t>does not reflect his pro rata share of post-deadlock firm value (for PDFV/2=250 and 2</w:t>
      </w:r>
      <w:r w:rsidR="002C6F89">
        <w:rPr>
          <w:sz w:val="20"/>
          <w:szCs w:val="22"/>
          <w:lang w:val="en-GB"/>
        </w:rPr>
        <w:t>6</w:t>
      </w:r>
      <w:r w:rsidR="002C6F89" w:rsidRPr="00336C11">
        <w:rPr>
          <w:sz w:val="20"/>
          <w:szCs w:val="22"/>
          <w:lang w:val="en-GB"/>
        </w:rPr>
        <w:t>0</w:t>
      </w:r>
      <w:r w:rsidR="002C6F89">
        <w:rPr>
          <w:sz w:val="20"/>
          <w:szCs w:val="22"/>
          <w:lang w:val="en-GB"/>
        </w:rPr>
        <w:t>&gt;</w:t>
      </w:r>
      <w:r w:rsidR="002C6F89" w:rsidRPr="00336C11">
        <w:rPr>
          <w:sz w:val="20"/>
          <w:szCs w:val="22"/>
          <w:lang w:val="en-GB"/>
        </w:rPr>
        <w:t>250)</w:t>
      </w:r>
      <w:r w:rsidRPr="00336C11">
        <w:rPr>
          <w:sz w:val="20"/>
          <w:szCs w:val="22"/>
          <w:lang w:val="en-GB"/>
        </w:rPr>
        <w:t xml:space="preserve">. Either way, B would receive more than his </w:t>
      </w:r>
      <w:r w:rsidRPr="00336C11">
        <w:rPr>
          <w:i/>
          <w:iCs/>
          <w:sz w:val="20"/>
          <w:szCs w:val="22"/>
          <w:lang w:val="en-GB"/>
        </w:rPr>
        <w:t>pro rata</w:t>
      </w:r>
      <w:r w:rsidRPr="00336C11">
        <w:rPr>
          <w:sz w:val="20"/>
          <w:szCs w:val="22"/>
          <w:lang w:val="en-GB"/>
        </w:rPr>
        <w:t xml:space="preserve"> share of post-deadlock firm value (that is, 10, for 10=250-240 and 10=260-250, respectively). A would correspondingly capture less than his </w:t>
      </w:r>
      <w:r w:rsidRPr="00336C11">
        <w:rPr>
          <w:i/>
          <w:iCs/>
          <w:sz w:val="20"/>
          <w:szCs w:val="22"/>
          <w:lang w:val="en-GB"/>
        </w:rPr>
        <w:t>pro rata</w:t>
      </w:r>
      <w:r w:rsidRPr="00336C11">
        <w:rPr>
          <w:sz w:val="20"/>
          <w:szCs w:val="22"/>
          <w:lang w:val="en-GB"/>
        </w:rPr>
        <w:t xml:space="preserve"> share of post-deadlock firm value.</w:t>
      </w:r>
    </w:p>
    <w:p w14:paraId="39875E0B" w14:textId="2AA47E65" w:rsidR="00F4179D" w:rsidRDefault="00D0186B">
      <w:pPr>
        <w:ind w:firstLine="567"/>
        <w:jc w:val="both"/>
        <w:rPr>
          <w:sz w:val="22"/>
          <w:szCs w:val="22"/>
          <w:lang w:val="en-GB"/>
        </w:rPr>
      </w:pPr>
      <w:r>
        <w:rPr>
          <w:sz w:val="22"/>
          <w:szCs w:val="22"/>
          <w:lang w:val="en-GB"/>
        </w:rPr>
        <w:t>The prospects of th</w:t>
      </w:r>
      <w:r w:rsidR="007D4FDF" w:rsidRPr="00336C11">
        <w:rPr>
          <w:sz w:val="22"/>
          <w:szCs w:val="22"/>
          <w:lang w:val="en-GB"/>
        </w:rPr>
        <w:t>e</w:t>
      </w:r>
      <w:r w:rsidR="006A3178">
        <w:rPr>
          <w:sz w:val="22"/>
          <w:szCs w:val="22"/>
          <w:lang w:val="en-GB"/>
        </w:rPr>
        <w:t xml:space="preserve"> potential consequences stemming out of the</w:t>
      </w:r>
      <w:r w:rsidR="007D4FDF" w:rsidRPr="00336C11">
        <w:rPr>
          <w:sz w:val="22"/>
          <w:szCs w:val="22"/>
          <w:lang w:val="en-GB"/>
        </w:rPr>
        <w:t>se</w:t>
      </w:r>
      <w:r w:rsidR="007D4FDF" w:rsidRPr="00336C11">
        <w:rPr>
          <w:b/>
          <w:i/>
          <w:sz w:val="22"/>
          <w:szCs w:val="22"/>
          <w:lang w:val="en-GB"/>
        </w:rPr>
        <w:t xml:space="preserve"> </w:t>
      </w:r>
      <w:r w:rsidR="007D4FDF" w:rsidRPr="00336C11">
        <w:rPr>
          <w:sz w:val="22"/>
          <w:szCs w:val="22"/>
          <w:lang w:val="en-GB"/>
        </w:rPr>
        <w:t>dynamics</w:t>
      </w:r>
      <w:r w:rsidR="008F0F04">
        <w:rPr>
          <w:sz w:val="22"/>
          <w:szCs w:val="22"/>
          <w:lang w:val="en-GB"/>
        </w:rPr>
        <w:t xml:space="preserve"> </w:t>
      </w:r>
      <w:r w:rsidR="007D4FDF" w:rsidRPr="00336C11">
        <w:rPr>
          <w:sz w:val="22"/>
          <w:szCs w:val="22"/>
          <w:lang w:val="en-GB"/>
        </w:rPr>
        <w:t>shape</w:t>
      </w:r>
      <w:r w:rsidR="006A3178">
        <w:rPr>
          <w:sz w:val="22"/>
          <w:szCs w:val="22"/>
          <w:lang w:val="en-GB"/>
        </w:rPr>
        <w:t>s</w:t>
      </w:r>
      <w:r w:rsidR="007D4FDF" w:rsidRPr="00336C11">
        <w:rPr>
          <w:sz w:val="22"/>
          <w:szCs w:val="22"/>
          <w:lang w:val="en-GB"/>
        </w:rPr>
        <w:t xml:space="preserve"> the triggering shareholder’s incentives as to price-setting. Being unable to know ex ante whether he will be the buyer or the seller of his own shareholding, </w:t>
      </w:r>
      <w:r w:rsidR="00794EA4">
        <w:rPr>
          <w:sz w:val="22"/>
          <w:szCs w:val="22"/>
          <w:lang w:val="en-GB"/>
        </w:rPr>
        <w:t xml:space="preserve">the triggering shareholder is rationally induced to abstain from </w:t>
      </w:r>
      <w:r w:rsidR="007D4FDF" w:rsidRPr="00336C11">
        <w:rPr>
          <w:sz w:val="22"/>
          <w:szCs w:val="22"/>
          <w:lang w:val="en-GB"/>
        </w:rPr>
        <w:t>advanc</w:t>
      </w:r>
      <w:r w:rsidR="00794EA4">
        <w:rPr>
          <w:sz w:val="22"/>
          <w:szCs w:val="22"/>
          <w:lang w:val="en-GB"/>
        </w:rPr>
        <w:t>ing</w:t>
      </w:r>
      <w:r w:rsidR="007D4FDF" w:rsidRPr="00336C11">
        <w:rPr>
          <w:sz w:val="22"/>
          <w:szCs w:val="22"/>
          <w:lang w:val="en-GB"/>
        </w:rPr>
        <w:t xml:space="preserve"> the interest of either a buyer or a seller by naming a price P</w:t>
      </w:r>
      <w:r w:rsidR="007D4FDF" w:rsidRPr="00C1598F">
        <w:rPr>
          <w:sz w:val="22"/>
          <w:szCs w:val="22"/>
          <w:vertAlign w:val="subscript"/>
          <w:lang w:val="en-GB"/>
        </w:rPr>
        <w:t>1</w:t>
      </w:r>
      <w:r w:rsidR="007D4FDF" w:rsidRPr="00336C11">
        <w:rPr>
          <w:sz w:val="22"/>
          <w:szCs w:val="22"/>
          <w:lang w:val="en-GB"/>
        </w:rPr>
        <w:t>&lt;PDFV/2 or P</w:t>
      </w:r>
      <w:r w:rsidR="007D4FDF" w:rsidRPr="00C1598F">
        <w:rPr>
          <w:sz w:val="22"/>
          <w:szCs w:val="22"/>
          <w:vertAlign w:val="subscript"/>
          <w:lang w:val="en-GB"/>
        </w:rPr>
        <w:t>1</w:t>
      </w:r>
      <w:r w:rsidR="007D4FDF" w:rsidRPr="00336C11">
        <w:rPr>
          <w:sz w:val="22"/>
          <w:szCs w:val="22"/>
          <w:lang w:val="en-GB"/>
        </w:rPr>
        <w:t xml:space="preserve">&gt;PDFV/2. </w:t>
      </w:r>
      <w:r>
        <w:rPr>
          <w:sz w:val="22"/>
          <w:szCs w:val="22"/>
          <w:lang w:val="en-GB"/>
        </w:rPr>
        <w:t xml:space="preserve">Rather, </w:t>
      </w:r>
      <w:r w:rsidR="007D4FDF" w:rsidRPr="00336C11">
        <w:rPr>
          <w:sz w:val="22"/>
          <w:szCs w:val="22"/>
          <w:lang w:val="en-GB"/>
        </w:rPr>
        <w:t xml:space="preserve">the egoistical ambition to protect his own payoff </w:t>
      </w:r>
      <w:r w:rsidR="00794EA4">
        <w:rPr>
          <w:sz w:val="22"/>
          <w:szCs w:val="22"/>
          <w:lang w:val="en-GB"/>
        </w:rPr>
        <w:t xml:space="preserve">regardless of </w:t>
      </w:r>
      <w:r w:rsidR="00926EC6">
        <w:rPr>
          <w:sz w:val="22"/>
          <w:szCs w:val="22"/>
          <w:lang w:val="en-GB"/>
        </w:rPr>
        <w:t xml:space="preserve">the buyout procedure’s outcome </w:t>
      </w:r>
      <w:r w:rsidR="007D4FDF" w:rsidRPr="00336C11">
        <w:rPr>
          <w:sz w:val="22"/>
          <w:szCs w:val="22"/>
          <w:lang w:val="en-GB"/>
        </w:rPr>
        <w:t>induce</w:t>
      </w:r>
      <w:r w:rsidR="006A3178">
        <w:rPr>
          <w:sz w:val="22"/>
          <w:szCs w:val="22"/>
          <w:lang w:val="en-GB"/>
        </w:rPr>
        <w:t>s</w:t>
      </w:r>
      <w:r w:rsidR="007D4FDF" w:rsidRPr="00336C11">
        <w:rPr>
          <w:sz w:val="22"/>
          <w:szCs w:val="22"/>
          <w:lang w:val="en-GB"/>
        </w:rPr>
        <w:t xml:space="preserve"> the triggering shareholder to name a price that may equally effective</w:t>
      </w:r>
      <w:r w:rsidR="00926EC6">
        <w:rPr>
          <w:sz w:val="22"/>
          <w:szCs w:val="22"/>
          <w:lang w:val="en-GB"/>
        </w:rPr>
        <w:t>ly</w:t>
      </w:r>
      <w:r w:rsidR="007D4FDF" w:rsidRPr="00336C11">
        <w:rPr>
          <w:sz w:val="22"/>
          <w:szCs w:val="22"/>
          <w:lang w:val="en-GB"/>
        </w:rPr>
        <w:t xml:space="preserve"> protect the payoff of an </w:t>
      </w:r>
      <w:r w:rsidR="00794EA4">
        <w:rPr>
          <w:sz w:val="22"/>
          <w:szCs w:val="22"/>
          <w:lang w:val="en-GB"/>
        </w:rPr>
        <w:t xml:space="preserve">anonymous </w:t>
      </w:r>
      <w:r w:rsidR="007D4FDF" w:rsidRPr="00336C11">
        <w:rPr>
          <w:sz w:val="22"/>
          <w:szCs w:val="22"/>
          <w:lang w:val="en-GB"/>
        </w:rPr>
        <w:t xml:space="preserve">buyer or seller. </w:t>
      </w:r>
    </w:p>
    <w:p w14:paraId="6F314FE0" w14:textId="77777777" w:rsidR="00F4179D" w:rsidRDefault="00D0186B">
      <w:pPr>
        <w:ind w:firstLine="567"/>
        <w:jc w:val="both"/>
        <w:rPr>
          <w:sz w:val="22"/>
          <w:szCs w:val="22"/>
          <w:lang w:val="en-GB"/>
        </w:rPr>
      </w:pPr>
      <w:r>
        <w:rPr>
          <w:sz w:val="22"/>
          <w:szCs w:val="22"/>
          <w:lang w:val="en-GB"/>
        </w:rPr>
        <w:t>D</w:t>
      </w:r>
      <w:r w:rsidR="007D4FDF" w:rsidRPr="00336C11">
        <w:rPr>
          <w:sz w:val="22"/>
          <w:szCs w:val="22"/>
          <w:lang w:val="en-GB"/>
        </w:rPr>
        <w:t>oing so</w:t>
      </w:r>
      <w:r>
        <w:rPr>
          <w:sz w:val="22"/>
          <w:szCs w:val="22"/>
          <w:lang w:val="en-GB"/>
        </w:rPr>
        <w:t xml:space="preserve"> is in fact the key to </w:t>
      </w:r>
      <w:r w:rsidR="00794EA4">
        <w:rPr>
          <w:sz w:val="22"/>
          <w:szCs w:val="22"/>
          <w:lang w:val="en-GB"/>
        </w:rPr>
        <w:t xml:space="preserve">create the preconditions to </w:t>
      </w:r>
      <w:r w:rsidR="007D4FDF" w:rsidRPr="00336C11">
        <w:rPr>
          <w:sz w:val="22"/>
          <w:szCs w:val="22"/>
          <w:lang w:val="en-GB"/>
        </w:rPr>
        <w:t xml:space="preserve">capture his own </w:t>
      </w:r>
      <w:r w:rsidR="007D4FDF" w:rsidRPr="00336C11">
        <w:rPr>
          <w:i/>
          <w:iCs/>
          <w:sz w:val="22"/>
          <w:szCs w:val="22"/>
          <w:lang w:val="en-GB"/>
        </w:rPr>
        <w:t>pro rata</w:t>
      </w:r>
      <w:r w:rsidR="007D4FDF" w:rsidRPr="00336C11">
        <w:rPr>
          <w:sz w:val="22"/>
          <w:szCs w:val="22"/>
          <w:lang w:val="en-GB"/>
        </w:rPr>
        <w:t xml:space="preserve"> fraction of post-deadlock firm value regardless of whether he will actually end up being the seller of his own shareholding or the buyer of the non-triggering shareholder’s shareholding. </w:t>
      </w:r>
    </w:p>
    <w:p w14:paraId="3AB970A1" w14:textId="5A27529A" w:rsidR="007D4FDF" w:rsidRDefault="00926EC6">
      <w:pPr>
        <w:ind w:firstLine="567"/>
        <w:jc w:val="both"/>
        <w:rPr>
          <w:sz w:val="22"/>
          <w:szCs w:val="22"/>
          <w:lang w:val="en-GB"/>
        </w:rPr>
      </w:pPr>
      <w:r>
        <w:rPr>
          <w:sz w:val="22"/>
          <w:szCs w:val="22"/>
          <w:lang w:val="en-GB"/>
        </w:rPr>
        <w:t>T</w:t>
      </w:r>
      <w:r w:rsidR="007D4FDF" w:rsidRPr="00336C11">
        <w:rPr>
          <w:sz w:val="22"/>
          <w:szCs w:val="22"/>
          <w:lang w:val="en-GB"/>
        </w:rPr>
        <w:t xml:space="preserve">o this end, </w:t>
      </w:r>
      <w:r>
        <w:rPr>
          <w:sz w:val="22"/>
          <w:szCs w:val="22"/>
          <w:lang w:val="en-GB"/>
        </w:rPr>
        <w:t xml:space="preserve">the triggering shareholder </w:t>
      </w:r>
      <w:r w:rsidR="007D4FDF" w:rsidRPr="00336C11">
        <w:rPr>
          <w:sz w:val="22"/>
          <w:szCs w:val="22"/>
          <w:lang w:val="en-GB"/>
        </w:rPr>
        <w:t xml:space="preserve">cannot help but name a price </w:t>
      </w:r>
      <w:r w:rsidR="006A3178">
        <w:rPr>
          <w:sz w:val="22"/>
          <w:szCs w:val="22"/>
          <w:lang w:val="en-GB"/>
        </w:rPr>
        <w:t xml:space="preserve">such neither shareholder can make any </w:t>
      </w:r>
      <w:r>
        <w:rPr>
          <w:sz w:val="22"/>
          <w:szCs w:val="22"/>
          <w:lang w:val="en-GB"/>
        </w:rPr>
        <w:t xml:space="preserve">sort of </w:t>
      </w:r>
      <w:r w:rsidR="007D4FDF" w:rsidRPr="00336C11">
        <w:rPr>
          <w:sz w:val="22"/>
          <w:szCs w:val="22"/>
          <w:lang w:val="en-GB"/>
        </w:rPr>
        <w:t>win W</w:t>
      </w:r>
      <w:r>
        <w:rPr>
          <w:sz w:val="22"/>
          <w:szCs w:val="22"/>
          <w:lang w:val="en-GB"/>
        </w:rPr>
        <w:t>, so that</w:t>
      </w:r>
      <w:r w:rsidR="006A3178">
        <w:rPr>
          <w:sz w:val="22"/>
          <w:szCs w:val="22"/>
          <w:lang w:val="en-GB"/>
        </w:rPr>
        <w:t xml:space="preserve"> </w:t>
      </w:r>
      <w:r>
        <w:rPr>
          <w:sz w:val="22"/>
          <w:szCs w:val="22"/>
          <w:lang w:val="en-GB"/>
        </w:rPr>
        <w:t xml:space="preserve">eventually </w:t>
      </w:r>
      <w:r w:rsidR="007D4FDF" w:rsidRPr="00336C11">
        <w:rPr>
          <w:sz w:val="22"/>
          <w:szCs w:val="22"/>
          <w:lang w:val="en-GB"/>
        </w:rPr>
        <w:t xml:space="preserve">W=0. </w:t>
      </w:r>
      <w:r>
        <w:rPr>
          <w:sz w:val="22"/>
          <w:szCs w:val="22"/>
          <w:lang w:val="en-GB"/>
        </w:rPr>
        <w:t>And Intuitively, f</w:t>
      </w:r>
      <w:r w:rsidR="007D4FDF" w:rsidRPr="00336C11">
        <w:rPr>
          <w:sz w:val="22"/>
          <w:szCs w:val="22"/>
          <w:lang w:val="en-GB"/>
        </w:rPr>
        <w:t>or W</w:t>
      </w:r>
      <w:r w:rsidR="004A47E5" w:rsidRPr="00336C11">
        <w:rPr>
          <w:sz w:val="22"/>
          <w:szCs w:val="22"/>
          <w:lang w:val="en-GB"/>
        </w:rPr>
        <w:t>=</w:t>
      </w:r>
      <w:r w:rsidR="004A47E5">
        <w:rPr>
          <w:sz w:val="22"/>
          <w:szCs w:val="22"/>
          <w:lang w:val="en-GB"/>
        </w:rPr>
        <w:t>0</w:t>
      </w:r>
      <w:r w:rsidR="004A47E5" w:rsidRPr="00336C11">
        <w:rPr>
          <w:sz w:val="22"/>
          <w:szCs w:val="22"/>
          <w:lang w:val="en-GB"/>
        </w:rPr>
        <w:t xml:space="preserve">, </w:t>
      </w:r>
      <w:r w:rsidR="007D4FDF" w:rsidRPr="00336C11">
        <w:rPr>
          <w:sz w:val="22"/>
          <w:szCs w:val="22"/>
          <w:lang w:val="en-GB"/>
        </w:rPr>
        <w:t>the only price that the triggering shareholder can name is a price P</w:t>
      </w:r>
      <w:r w:rsidR="007D4FDF" w:rsidRPr="00336C11">
        <w:rPr>
          <w:sz w:val="22"/>
          <w:szCs w:val="22"/>
          <w:vertAlign w:val="subscript"/>
          <w:lang w:val="en-GB"/>
        </w:rPr>
        <w:t>1</w:t>
      </w:r>
      <w:r w:rsidR="007D4FDF" w:rsidRPr="00336C11">
        <w:rPr>
          <w:sz w:val="22"/>
          <w:szCs w:val="22"/>
          <w:lang w:val="en-GB"/>
        </w:rPr>
        <w:t xml:space="preserve">=PDFV/2. Being </w:t>
      </w:r>
      <w:r w:rsidR="00D0186B">
        <w:rPr>
          <w:sz w:val="22"/>
          <w:szCs w:val="22"/>
          <w:lang w:val="en-GB"/>
        </w:rPr>
        <w:t>P</w:t>
      </w:r>
      <w:r w:rsidR="00D0186B" w:rsidRPr="00D0186B">
        <w:rPr>
          <w:sz w:val="22"/>
          <w:szCs w:val="22"/>
          <w:vertAlign w:val="subscript"/>
          <w:lang w:val="en-GB"/>
        </w:rPr>
        <w:t>1</w:t>
      </w:r>
      <w:r w:rsidR="00D0186B">
        <w:rPr>
          <w:sz w:val="22"/>
          <w:szCs w:val="22"/>
          <w:lang w:val="en-GB"/>
        </w:rPr>
        <w:t>=PDFV/2</w:t>
      </w:r>
      <w:r w:rsidR="007D4FDF" w:rsidRPr="00336C11">
        <w:rPr>
          <w:sz w:val="22"/>
          <w:szCs w:val="22"/>
          <w:lang w:val="en-GB"/>
        </w:rPr>
        <w:t>, and being P</w:t>
      </w:r>
      <w:r w:rsidR="007D4FDF" w:rsidRPr="00D0186B">
        <w:rPr>
          <w:sz w:val="22"/>
          <w:szCs w:val="22"/>
          <w:vertAlign w:val="subscript"/>
          <w:lang w:val="en-GB"/>
        </w:rPr>
        <w:t>1</w:t>
      </w:r>
      <w:r w:rsidR="007D4FDF" w:rsidRPr="00336C11">
        <w:rPr>
          <w:sz w:val="22"/>
          <w:szCs w:val="22"/>
          <w:lang w:val="en-GB"/>
        </w:rPr>
        <w:t>=P</w:t>
      </w:r>
      <w:r w:rsidR="007D4FDF" w:rsidRPr="00D0186B">
        <w:rPr>
          <w:sz w:val="22"/>
          <w:szCs w:val="22"/>
          <w:vertAlign w:val="subscript"/>
          <w:lang w:val="en-GB"/>
        </w:rPr>
        <w:t>2</w:t>
      </w:r>
      <w:r w:rsidR="007D4FDF" w:rsidRPr="00336C11">
        <w:rPr>
          <w:sz w:val="22"/>
          <w:szCs w:val="22"/>
          <w:lang w:val="en-GB"/>
        </w:rPr>
        <w:t xml:space="preserve"> by design, each shareholder would then necessarily receive PDFV/2, as per contract original stipulations</w:t>
      </w:r>
      <w:r w:rsidR="00794EA4">
        <w:rPr>
          <w:sz w:val="22"/>
          <w:szCs w:val="22"/>
          <w:lang w:val="en-GB"/>
        </w:rPr>
        <w:t xml:space="preserve"> independently of the buyout procedure</w:t>
      </w:r>
      <w:r>
        <w:rPr>
          <w:sz w:val="22"/>
          <w:szCs w:val="22"/>
          <w:lang w:val="en-GB"/>
        </w:rPr>
        <w:t>’s outcome</w:t>
      </w:r>
      <w:r w:rsidR="007D4FDF" w:rsidRPr="00336C11">
        <w:rPr>
          <w:sz w:val="22"/>
          <w:szCs w:val="22"/>
          <w:lang w:val="en-GB"/>
        </w:rPr>
        <w:t xml:space="preserve">. </w:t>
      </w:r>
    </w:p>
    <w:p w14:paraId="5CF5A93F" w14:textId="77777777" w:rsidR="00686703" w:rsidRPr="00336C11" w:rsidRDefault="00686703" w:rsidP="00686703">
      <w:pPr>
        <w:ind w:firstLine="567"/>
        <w:jc w:val="both"/>
        <w:rPr>
          <w:sz w:val="22"/>
          <w:szCs w:val="22"/>
          <w:lang w:val="en-GB"/>
        </w:rPr>
      </w:pPr>
      <w:r w:rsidRPr="00336C11">
        <w:rPr>
          <w:sz w:val="22"/>
          <w:szCs w:val="22"/>
          <w:lang w:val="en-GB"/>
        </w:rPr>
        <w:t xml:space="preserve">Russian Roulette provisions exhibit a design that imprints into the ensuing buyout procedure very peculiar mechanics, which are </w:t>
      </w:r>
      <w:r>
        <w:rPr>
          <w:sz w:val="22"/>
          <w:szCs w:val="22"/>
          <w:lang w:val="en-GB"/>
        </w:rPr>
        <w:t xml:space="preserve">in turn </w:t>
      </w:r>
      <w:r w:rsidRPr="00336C11">
        <w:rPr>
          <w:sz w:val="22"/>
          <w:szCs w:val="22"/>
          <w:lang w:val="en-GB"/>
        </w:rPr>
        <w:t>responsible for the anonymization of the role that either deadlocked shareholder will actually have as the buyout procedure ends. This anonymization does in turn trigger</w:t>
      </w:r>
      <w:r>
        <w:rPr>
          <w:sz w:val="22"/>
          <w:szCs w:val="22"/>
          <w:lang w:val="en-GB"/>
        </w:rPr>
        <w:t>s</w:t>
      </w:r>
      <w:r w:rsidRPr="00336C11">
        <w:rPr>
          <w:sz w:val="22"/>
          <w:szCs w:val="22"/>
          <w:lang w:val="en-GB"/>
        </w:rPr>
        <w:t xml:space="preserve"> dynamics </w:t>
      </w:r>
      <w:r>
        <w:rPr>
          <w:sz w:val="22"/>
          <w:szCs w:val="22"/>
          <w:lang w:val="en-GB"/>
        </w:rPr>
        <w:t xml:space="preserve">that </w:t>
      </w:r>
      <w:r w:rsidRPr="00336C11">
        <w:rPr>
          <w:sz w:val="22"/>
          <w:szCs w:val="22"/>
          <w:lang w:val="en-GB"/>
        </w:rPr>
        <w:t>neutralize the potentially distorting effects of self-interest in price-setting</w:t>
      </w:r>
      <w:r>
        <w:rPr>
          <w:sz w:val="22"/>
          <w:szCs w:val="22"/>
          <w:lang w:val="en-GB"/>
        </w:rPr>
        <w:t xml:space="preserve"> and eventually </w:t>
      </w:r>
      <w:r w:rsidRPr="00336C11">
        <w:rPr>
          <w:sz w:val="22"/>
          <w:szCs w:val="22"/>
          <w:lang w:val="en-GB"/>
        </w:rPr>
        <w:t xml:space="preserve">propitiate contractual self-enforcement. </w:t>
      </w:r>
    </w:p>
    <w:p w14:paraId="7722AFCB" w14:textId="4EE89C7D" w:rsidR="007D4FDF" w:rsidRPr="00336C11" w:rsidRDefault="007D4FDF" w:rsidP="007D4FDF">
      <w:pPr>
        <w:spacing w:before="240" w:after="240"/>
        <w:ind w:left="567" w:right="567"/>
        <w:jc w:val="both"/>
        <w:rPr>
          <w:sz w:val="20"/>
          <w:szCs w:val="22"/>
          <w:lang w:val="en-GB"/>
        </w:rPr>
      </w:pPr>
      <w:r w:rsidRPr="00336C11">
        <w:rPr>
          <w:b/>
          <w:i/>
          <w:sz w:val="20"/>
          <w:szCs w:val="22"/>
          <w:lang w:val="en-GB"/>
        </w:rPr>
        <w:t>Example</w:t>
      </w:r>
      <w:r w:rsidRPr="00336C11">
        <w:rPr>
          <w:sz w:val="20"/>
          <w:szCs w:val="22"/>
          <w:lang w:val="en-GB"/>
        </w:rPr>
        <w:t xml:space="preserve">: </w:t>
      </w:r>
      <w:r w:rsidRPr="00336C11">
        <w:rPr>
          <w:bCs/>
          <w:iCs/>
          <w:sz w:val="20"/>
          <w:szCs w:val="22"/>
          <w:lang w:val="en-GB"/>
        </w:rPr>
        <w:t>The deadlocked firm</w:t>
      </w:r>
      <w:r w:rsidRPr="00336C11">
        <w:rPr>
          <w:sz w:val="20"/>
          <w:szCs w:val="22"/>
          <w:lang w:val="en-GB"/>
        </w:rPr>
        <w:t xml:space="preserve"> Alfa has two shareholders A and B in the vests of the triggering shareholder and non-triggering shareholder, respectively. Alfa’s DFV and PDFV stand again at 400 and 500, respectively. Concerned with egoistically preserving his own payoff, </w:t>
      </w:r>
      <w:r w:rsidRPr="00336C11">
        <w:rPr>
          <w:i/>
          <w:iCs/>
          <w:sz w:val="20"/>
          <w:szCs w:val="22"/>
          <w:lang w:val="en-GB"/>
        </w:rPr>
        <w:t>qua</w:t>
      </w:r>
      <w:r w:rsidRPr="00336C11">
        <w:rPr>
          <w:sz w:val="20"/>
          <w:szCs w:val="22"/>
          <w:lang w:val="en-GB"/>
        </w:rPr>
        <w:t xml:space="preserve"> either potential buyer of B’s shareholding or potential seller of his own shareholding, the triggering shareholder has virtuous incentives to name a price P</w:t>
      </w:r>
      <w:r w:rsidRPr="00336C11">
        <w:rPr>
          <w:sz w:val="20"/>
          <w:szCs w:val="22"/>
          <w:vertAlign w:val="subscript"/>
          <w:lang w:val="en-GB"/>
        </w:rPr>
        <w:t>1</w:t>
      </w:r>
      <w:r w:rsidRPr="00336C11">
        <w:rPr>
          <w:sz w:val="20"/>
          <w:szCs w:val="22"/>
          <w:lang w:val="en-GB"/>
        </w:rPr>
        <w:t>=250 (PDFV/2=500/2=250). Being P</w:t>
      </w:r>
      <w:r w:rsidRPr="00336C11">
        <w:rPr>
          <w:sz w:val="20"/>
          <w:szCs w:val="22"/>
          <w:vertAlign w:val="subscript"/>
          <w:lang w:val="en-GB"/>
        </w:rPr>
        <w:t>1</w:t>
      </w:r>
      <w:r w:rsidRPr="00336C11">
        <w:rPr>
          <w:sz w:val="20"/>
          <w:szCs w:val="22"/>
          <w:lang w:val="en-GB"/>
        </w:rPr>
        <w:t xml:space="preserve">=250 and being 250=PDFV/2, it will prove immaterial whether A will eventually buy B out or B will buy A out. Either way, </w:t>
      </w:r>
      <w:r w:rsidR="00926EC6">
        <w:rPr>
          <w:sz w:val="20"/>
          <w:szCs w:val="22"/>
          <w:lang w:val="en-GB"/>
        </w:rPr>
        <w:t xml:space="preserve">either deadlock shareholder will receive his pro rata fraction of </w:t>
      </w:r>
      <w:r w:rsidRPr="00336C11">
        <w:rPr>
          <w:sz w:val="20"/>
          <w:szCs w:val="22"/>
          <w:lang w:val="en-GB"/>
        </w:rPr>
        <w:t>post-deadlock firm value.</w:t>
      </w:r>
    </w:p>
    <w:p w14:paraId="7C8BA618" w14:textId="77777777" w:rsidR="00686703" w:rsidRDefault="00686703" w:rsidP="00950738">
      <w:pPr>
        <w:ind w:firstLine="567"/>
        <w:jc w:val="both"/>
        <w:rPr>
          <w:sz w:val="22"/>
          <w:szCs w:val="22"/>
          <w:lang w:val="en-GB"/>
        </w:rPr>
      </w:pPr>
      <w:bookmarkStart w:id="49" w:name="_Toc58440504"/>
      <w:bookmarkStart w:id="50" w:name="_Toc58515395"/>
      <w:bookmarkStart w:id="51" w:name="_Toc57395352"/>
      <w:bookmarkStart w:id="52" w:name="_Toc57395393"/>
      <w:bookmarkStart w:id="53" w:name="_Toc57395354"/>
      <w:bookmarkStart w:id="54" w:name="_Toc57395395"/>
      <w:bookmarkStart w:id="55" w:name="_Toc57395355"/>
      <w:bookmarkStart w:id="56" w:name="_Toc57395396"/>
      <w:bookmarkStart w:id="57" w:name="_Toc58274693"/>
      <w:bookmarkStart w:id="58" w:name="_Toc64465226"/>
      <w:bookmarkEnd w:id="0"/>
      <w:bookmarkEnd w:id="48"/>
      <w:bookmarkEnd w:id="49"/>
      <w:bookmarkEnd w:id="50"/>
      <w:bookmarkEnd w:id="51"/>
      <w:bookmarkEnd w:id="52"/>
      <w:bookmarkEnd w:id="53"/>
      <w:bookmarkEnd w:id="54"/>
      <w:bookmarkEnd w:id="55"/>
      <w:bookmarkEnd w:id="56"/>
      <w:r>
        <w:rPr>
          <w:sz w:val="22"/>
          <w:szCs w:val="22"/>
          <w:lang w:val="en-GB"/>
        </w:rPr>
        <w:t xml:space="preserve">In a symmetric environment, Russian Roulette provisions and the ensuing buyout procedure outperform extemporary negotiations qua technique for a buyout. The reason for </w:t>
      </w:r>
      <w:r>
        <w:rPr>
          <w:sz w:val="22"/>
          <w:szCs w:val="22"/>
          <w:lang w:val="en-GB"/>
        </w:rPr>
        <w:lastRenderedPageBreak/>
        <w:t xml:space="preserve">can be appreciated by highlighting the impact that such private ordering-based solutions have on </w:t>
      </w:r>
      <w:r w:rsidR="00950738" w:rsidRPr="00336C11">
        <w:rPr>
          <w:sz w:val="22"/>
          <w:szCs w:val="22"/>
          <w:lang w:val="en-GB"/>
        </w:rPr>
        <w:t>the deadlocked shareholders’ outside options</w:t>
      </w:r>
      <w:r>
        <w:rPr>
          <w:sz w:val="22"/>
          <w:szCs w:val="22"/>
          <w:lang w:val="en-GB"/>
        </w:rPr>
        <w:t xml:space="preserve"> and, hence, on the ZoPA.</w:t>
      </w:r>
      <w:r w:rsidR="00950738" w:rsidRPr="00336C11">
        <w:rPr>
          <w:rStyle w:val="FootnoteReference"/>
          <w:rFonts w:ascii="Times New Roman" w:hAnsi="Times New Roman"/>
          <w:sz w:val="22"/>
          <w:szCs w:val="22"/>
          <w:lang w:val="en-GB"/>
        </w:rPr>
        <w:footnoteReference w:id="68"/>
      </w:r>
      <w:r w:rsidR="00950738" w:rsidRPr="00336C11">
        <w:rPr>
          <w:sz w:val="22"/>
          <w:szCs w:val="22"/>
          <w:lang w:val="en-GB"/>
        </w:rPr>
        <w:t xml:space="preserve"> </w:t>
      </w:r>
    </w:p>
    <w:p w14:paraId="15C63912" w14:textId="77777777" w:rsidR="00686703" w:rsidRDefault="00686703" w:rsidP="00950738">
      <w:pPr>
        <w:ind w:firstLine="567"/>
        <w:jc w:val="both"/>
        <w:rPr>
          <w:sz w:val="22"/>
          <w:szCs w:val="22"/>
          <w:lang w:val="en-GB"/>
        </w:rPr>
      </w:pPr>
      <w:r>
        <w:rPr>
          <w:sz w:val="22"/>
          <w:szCs w:val="22"/>
          <w:lang w:val="en-GB"/>
        </w:rPr>
        <w:t>Russian Roulette provisions formalize a control right instrumental to delivering fair buyouts. B</w:t>
      </w:r>
      <w:r w:rsidR="00950738" w:rsidRPr="00336C11">
        <w:rPr>
          <w:sz w:val="22"/>
          <w:szCs w:val="22"/>
          <w:lang w:val="en-GB"/>
        </w:rPr>
        <w:t>ecause of the explicit promise that in the event of a shareholders deadlock each deadlocked shareholder will receive his fair share of post-deadlock firm value, either deadlocked shareholder’s “new” outside options – that is, OP</w:t>
      </w:r>
      <w:r w:rsidR="00950738" w:rsidRPr="00336C11">
        <w:rPr>
          <w:sz w:val="22"/>
          <w:szCs w:val="22"/>
          <w:vertAlign w:val="subscript"/>
          <w:lang w:val="en-GB"/>
        </w:rPr>
        <w:t>1</w:t>
      </w:r>
      <w:r w:rsidR="00950738" w:rsidRPr="00336C11">
        <w:rPr>
          <w:sz w:val="22"/>
          <w:szCs w:val="22"/>
          <w:lang w:val="en-GB"/>
        </w:rPr>
        <w:t xml:space="preserve"> and OP</w:t>
      </w:r>
      <w:r w:rsidR="00950738" w:rsidRPr="00336C11">
        <w:rPr>
          <w:sz w:val="22"/>
          <w:szCs w:val="22"/>
          <w:vertAlign w:val="subscript"/>
          <w:lang w:val="en-GB"/>
        </w:rPr>
        <w:t>2</w:t>
      </w:r>
      <w:r w:rsidR="00950738" w:rsidRPr="00336C11">
        <w:rPr>
          <w:sz w:val="22"/>
          <w:szCs w:val="22"/>
          <w:lang w:val="en-GB"/>
        </w:rPr>
        <w:t xml:space="preserve"> – are now such that OP</w:t>
      </w:r>
      <w:r w:rsidR="00950738" w:rsidRPr="00336C11">
        <w:rPr>
          <w:sz w:val="22"/>
          <w:szCs w:val="22"/>
          <w:vertAlign w:val="subscript"/>
          <w:lang w:val="en-GB"/>
        </w:rPr>
        <w:t>1</w:t>
      </w:r>
      <w:r w:rsidR="00950738" w:rsidRPr="00336C11">
        <w:rPr>
          <w:sz w:val="22"/>
          <w:szCs w:val="22"/>
          <w:lang w:val="en-GB"/>
        </w:rPr>
        <w:t>=OP</w:t>
      </w:r>
      <w:r w:rsidR="00950738" w:rsidRPr="00336C11">
        <w:rPr>
          <w:sz w:val="22"/>
          <w:szCs w:val="22"/>
          <w:vertAlign w:val="subscript"/>
          <w:lang w:val="en-GB"/>
        </w:rPr>
        <w:t>2</w:t>
      </w:r>
      <w:r w:rsidR="00950738" w:rsidRPr="00336C11">
        <w:rPr>
          <w:sz w:val="22"/>
          <w:szCs w:val="22"/>
          <w:lang w:val="en-GB"/>
        </w:rPr>
        <w:t>=PDFV/2.</w:t>
      </w:r>
      <w:r w:rsidR="00950738" w:rsidRPr="00336C11">
        <w:rPr>
          <w:rStyle w:val="FootnoteReference"/>
          <w:rFonts w:ascii="Times New Roman" w:hAnsi="Times New Roman"/>
          <w:sz w:val="22"/>
          <w:szCs w:val="22"/>
          <w:lang w:val="en-GB"/>
        </w:rPr>
        <w:footnoteReference w:id="69"/>
      </w:r>
      <w:r w:rsidR="00950738" w:rsidRPr="00336C11">
        <w:rPr>
          <w:sz w:val="22"/>
          <w:szCs w:val="22"/>
          <w:lang w:val="en-GB"/>
        </w:rPr>
        <w:t xml:space="preserve"> </w:t>
      </w:r>
    </w:p>
    <w:p w14:paraId="17AFCDDA" w14:textId="111961B6" w:rsidR="00950738" w:rsidRPr="00336C11" w:rsidRDefault="00950738" w:rsidP="00950738">
      <w:pPr>
        <w:ind w:firstLine="567"/>
        <w:jc w:val="both"/>
        <w:rPr>
          <w:sz w:val="22"/>
          <w:szCs w:val="22"/>
          <w:lang w:val="en-GB"/>
        </w:rPr>
      </w:pPr>
      <w:r w:rsidRPr="00336C11">
        <w:rPr>
          <w:sz w:val="22"/>
          <w:szCs w:val="22"/>
          <w:lang w:val="en-GB"/>
        </w:rPr>
        <w:t>As private ordering has brought in a control right specifically aimed at delivering fair buyouts, neither deadlocked shareholder now would sell his own shareholding for less than what he would receive if the buyout terms were to be set as a result of the buyout procedure for which Russian Roulette provisions make the bed.</w:t>
      </w:r>
    </w:p>
    <w:p w14:paraId="4E78D772" w14:textId="77777777" w:rsidR="00950738" w:rsidRPr="00336C11" w:rsidRDefault="00950738" w:rsidP="00950738">
      <w:pPr>
        <w:ind w:firstLine="567"/>
        <w:jc w:val="both"/>
        <w:rPr>
          <w:sz w:val="22"/>
          <w:szCs w:val="22"/>
          <w:lang w:val="en-GB"/>
        </w:rPr>
      </w:pPr>
      <w:r w:rsidRPr="00336C11">
        <w:rPr>
          <w:sz w:val="22"/>
          <w:szCs w:val="22"/>
          <w:lang w:val="en-GB"/>
        </w:rPr>
        <w:t>The re-setting of the deadlocked shareholders’ outside options does in turn affect the width of the ZoPA that would come into play if the deadlocked shareholders were to engage in extemporary negotiations for a buyout. The width of the ZoPA is – as previously discussed</w:t>
      </w:r>
      <w:r w:rsidRPr="00336C11">
        <w:rPr>
          <w:rStyle w:val="FootnoteReference"/>
          <w:rFonts w:ascii="Times New Roman" w:hAnsi="Times New Roman"/>
          <w:sz w:val="22"/>
          <w:szCs w:val="22"/>
          <w:lang w:val="en-GB"/>
        </w:rPr>
        <w:footnoteReference w:id="70"/>
      </w:r>
      <w:r w:rsidRPr="00336C11">
        <w:rPr>
          <w:sz w:val="22"/>
          <w:szCs w:val="22"/>
          <w:lang w:val="en-GB"/>
        </w:rPr>
        <w:t xml:space="preserve"> – a function of its ends. One end consists in the deadlocked shareholders’ outside options OP</w:t>
      </w:r>
      <w:r w:rsidRPr="00C1598F">
        <w:rPr>
          <w:sz w:val="22"/>
          <w:szCs w:val="22"/>
          <w:vertAlign w:val="subscript"/>
          <w:lang w:val="en-GB"/>
        </w:rPr>
        <w:t>1</w:t>
      </w:r>
      <w:r w:rsidRPr="00336C11">
        <w:rPr>
          <w:sz w:val="22"/>
          <w:szCs w:val="22"/>
          <w:lang w:val="en-GB"/>
        </w:rPr>
        <w:t xml:space="preserve"> and OP</w:t>
      </w:r>
      <w:r w:rsidRPr="00C1598F">
        <w:rPr>
          <w:sz w:val="22"/>
          <w:szCs w:val="22"/>
          <w:vertAlign w:val="subscript"/>
          <w:lang w:val="en-GB"/>
        </w:rPr>
        <w:t>2</w:t>
      </w:r>
      <w:r w:rsidRPr="00336C11">
        <w:rPr>
          <w:sz w:val="22"/>
          <w:szCs w:val="22"/>
          <w:lang w:val="en-GB"/>
        </w:rPr>
        <w:t>. The other end consists in the highest prices HP</w:t>
      </w:r>
      <w:r w:rsidRPr="00336C11">
        <w:rPr>
          <w:sz w:val="22"/>
          <w:szCs w:val="22"/>
          <w:vertAlign w:val="subscript"/>
          <w:lang w:val="en-GB"/>
        </w:rPr>
        <w:t>1</w:t>
      </w:r>
      <w:r w:rsidRPr="00336C11">
        <w:rPr>
          <w:sz w:val="22"/>
          <w:szCs w:val="22"/>
          <w:lang w:val="en-GB"/>
        </w:rPr>
        <w:t xml:space="preserve"> and HP</w:t>
      </w:r>
      <w:r w:rsidRPr="00336C11">
        <w:rPr>
          <w:sz w:val="22"/>
          <w:szCs w:val="22"/>
          <w:vertAlign w:val="subscript"/>
          <w:lang w:val="en-GB"/>
        </w:rPr>
        <w:t>2</w:t>
      </w:r>
      <w:r w:rsidRPr="00336C11">
        <w:rPr>
          <w:sz w:val="22"/>
          <w:szCs w:val="22"/>
          <w:lang w:val="en-GB"/>
        </w:rPr>
        <w:t xml:space="preserve"> the triggering and the non-triggering shareholder would pay to secure full control of the deadlocked firm, respectively,</w:t>
      </w:r>
      <w:r w:rsidRPr="00336C11">
        <w:rPr>
          <w:rStyle w:val="FootnoteReference"/>
          <w:rFonts w:ascii="Times New Roman" w:hAnsi="Times New Roman"/>
          <w:sz w:val="22"/>
          <w:szCs w:val="22"/>
          <w:lang w:val="en-GB"/>
        </w:rPr>
        <w:footnoteReference w:id="71"/>
      </w:r>
      <w:r w:rsidRPr="00336C11">
        <w:rPr>
          <w:sz w:val="22"/>
          <w:szCs w:val="22"/>
          <w:lang w:val="en-GB"/>
        </w:rPr>
        <w:t xml:space="preserve"> which are equal to the difference between the post-deadlock firm value PDFV and their outside options OP</w:t>
      </w:r>
      <w:r w:rsidRPr="00336C11">
        <w:rPr>
          <w:sz w:val="22"/>
          <w:szCs w:val="22"/>
          <w:vertAlign w:val="subscript"/>
          <w:lang w:val="en-GB"/>
        </w:rPr>
        <w:t>1</w:t>
      </w:r>
      <w:r w:rsidRPr="00336C11">
        <w:rPr>
          <w:sz w:val="22"/>
          <w:szCs w:val="22"/>
          <w:lang w:val="en-GB"/>
        </w:rPr>
        <w:t xml:space="preserve"> and OP</w:t>
      </w:r>
      <w:r w:rsidRPr="00336C11">
        <w:rPr>
          <w:sz w:val="22"/>
          <w:szCs w:val="22"/>
          <w:vertAlign w:val="subscript"/>
          <w:lang w:val="en-GB"/>
        </w:rPr>
        <w:t>2</w:t>
      </w:r>
      <w:r w:rsidRPr="00336C11">
        <w:rPr>
          <w:sz w:val="22"/>
          <w:szCs w:val="22"/>
          <w:lang w:val="en-GB"/>
        </w:rPr>
        <w:t xml:space="preserve">. </w:t>
      </w:r>
    </w:p>
    <w:p w14:paraId="0CEE138C" w14:textId="77777777" w:rsidR="00950738" w:rsidRPr="00336C11" w:rsidRDefault="00950738" w:rsidP="00950738">
      <w:pPr>
        <w:ind w:firstLine="567"/>
        <w:jc w:val="both"/>
        <w:rPr>
          <w:sz w:val="22"/>
          <w:szCs w:val="22"/>
          <w:lang w:val="en-GB"/>
        </w:rPr>
      </w:pPr>
      <w:r w:rsidRPr="00336C11">
        <w:rPr>
          <w:sz w:val="22"/>
          <w:szCs w:val="22"/>
          <w:lang w:val="en-GB"/>
        </w:rPr>
        <w:t>That is, OP</w:t>
      </w:r>
      <w:r w:rsidRPr="00336C11">
        <w:rPr>
          <w:sz w:val="22"/>
          <w:szCs w:val="22"/>
          <w:vertAlign w:val="subscript"/>
          <w:lang w:val="en-GB"/>
        </w:rPr>
        <w:t>1</w:t>
      </w:r>
      <w:r w:rsidRPr="00336C11">
        <w:rPr>
          <w:sz w:val="22"/>
          <w:szCs w:val="22"/>
          <w:lang w:val="en-GB"/>
        </w:rPr>
        <w:t>=OP</w:t>
      </w:r>
      <w:r w:rsidRPr="00336C11">
        <w:rPr>
          <w:sz w:val="22"/>
          <w:szCs w:val="22"/>
          <w:vertAlign w:val="subscript"/>
          <w:lang w:val="en-GB"/>
        </w:rPr>
        <w:t>2</w:t>
      </w:r>
      <w:r w:rsidRPr="00336C11">
        <w:rPr>
          <w:sz w:val="22"/>
          <w:szCs w:val="22"/>
          <w:lang w:val="en-GB"/>
        </w:rPr>
        <w:t>=PDFV/2, HP</w:t>
      </w:r>
      <w:r w:rsidRPr="00336C11">
        <w:rPr>
          <w:sz w:val="22"/>
          <w:szCs w:val="22"/>
          <w:vertAlign w:val="subscript"/>
          <w:lang w:val="en-GB"/>
        </w:rPr>
        <w:t>1</w:t>
      </w:r>
      <w:r w:rsidRPr="00336C11">
        <w:rPr>
          <w:sz w:val="22"/>
          <w:szCs w:val="22"/>
          <w:lang w:val="en-GB"/>
        </w:rPr>
        <w:t>=HP</w:t>
      </w:r>
      <w:r w:rsidRPr="00336C11">
        <w:rPr>
          <w:sz w:val="22"/>
          <w:szCs w:val="22"/>
          <w:vertAlign w:val="subscript"/>
          <w:lang w:val="en-GB"/>
        </w:rPr>
        <w:t>2</w:t>
      </w:r>
      <w:r w:rsidRPr="00336C11">
        <w:rPr>
          <w:sz w:val="22"/>
          <w:szCs w:val="22"/>
          <w:lang w:val="en-GB"/>
        </w:rPr>
        <w:t>=PDFV-PDFV/2 and, ultimately, HP</w:t>
      </w:r>
      <w:r w:rsidRPr="00336C11">
        <w:rPr>
          <w:sz w:val="22"/>
          <w:szCs w:val="22"/>
          <w:vertAlign w:val="subscript"/>
          <w:lang w:val="en-GB"/>
        </w:rPr>
        <w:t>1</w:t>
      </w:r>
      <w:r w:rsidRPr="00336C11">
        <w:rPr>
          <w:sz w:val="22"/>
          <w:szCs w:val="22"/>
          <w:lang w:val="en-GB"/>
        </w:rPr>
        <w:t>=HP</w:t>
      </w:r>
      <w:r w:rsidRPr="00336C11">
        <w:rPr>
          <w:sz w:val="22"/>
          <w:szCs w:val="22"/>
          <w:vertAlign w:val="subscript"/>
          <w:lang w:val="en-GB"/>
        </w:rPr>
        <w:t>2</w:t>
      </w:r>
      <w:r w:rsidRPr="00336C11">
        <w:rPr>
          <w:sz w:val="22"/>
          <w:szCs w:val="22"/>
          <w:lang w:val="en-GB"/>
        </w:rPr>
        <w:t>=PDFV/2. Therefore, both the deadlocked shareholders’ outside options OP</w:t>
      </w:r>
      <w:r w:rsidRPr="00C1598F">
        <w:rPr>
          <w:sz w:val="22"/>
          <w:szCs w:val="22"/>
          <w:vertAlign w:val="subscript"/>
          <w:lang w:val="en-GB"/>
        </w:rPr>
        <w:t>1</w:t>
      </w:r>
      <w:r w:rsidRPr="00336C11">
        <w:rPr>
          <w:sz w:val="22"/>
          <w:szCs w:val="22"/>
          <w:lang w:val="en-GB"/>
        </w:rPr>
        <w:t xml:space="preserve"> and OP</w:t>
      </w:r>
      <w:r w:rsidRPr="00C1598F">
        <w:rPr>
          <w:sz w:val="22"/>
          <w:szCs w:val="22"/>
          <w:vertAlign w:val="subscript"/>
          <w:lang w:val="en-GB"/>
        </w:rPr>
        <w:t>2</w:t>
      </w:r>
      <w:r w:rsidRPr="00336C11">
        <w:rPr>
          <w:sz w:val="22"/>
          <w:szCs w:val="22"/>
          <w:lang w:val="en-GB"/>
        </w:rPr>
        <w:t xml:space="preserve"> and the highest prices HP1 and HP2 are now </w:t>
      </w:r>
      <w:r w:rsidRPr="00336C11">
        <w:rPr>
          <w:i/>
          <w:iCs/>
          <w:sz w:val="22"/>
          <w:szCs w:val="22"/>
          <w:lang w:val="en-GB"/>
        </w:rPr>
        <w:t>identical</w:t>
      </w:r>
      <w:r w:rsidRPr="00336C11">
        <w:rPr>
          <w:sz w:val="22"/>
          <w:szCs w:val="22"/>
          <w:lang w:val="en-GB"/>
        </w:rPr>
        <w:t>, such that both OP</w:t>
      </w:r>
      <w:r w:rsidRPr="00336C11">
        <w:rPr>
          <w:sz w:val="22"/>
          <w:szCs w:val="22"/>
          <w:vertAlign w:val="subscript"/>
          <w:lang w:val="en-GB"/>
        </w:rPr>
        <w:t>1</w:t>
      </w:r>
      <w:r w:rsidRPr="00336C11">
        <w:rPr>
          <w:sz w:val="22"/>
          <w:szCs w:val="22"/>
          <w:lang w:val="en-GB"/>
        </w:rPr>
        <w:t>=OP</w:t>
      </w:r>
      <w:r w:rsidRPr="00336C11">
        <w:rPr>
          <w:sz w:val="22"/>
          <w:szCs w:val="22"/>
          <w:vertAlign w:val="subscript"/>
          <w:lang w:val="en-GB"/>
        </w:rPr>
        <w:t>2</w:t>
      </w:r>
      <w:r w:rsidRPr="00336C11">
        <w:rPr>
          <w:sz w:val="22"/>
          <w:szCs w:val="22"/>
          <w:lang w:val="en-GB"/>
        </w:rPr>
        <w:t>=PDFV/2 and HP</w:t>
      </w:r>
      <w:r w:rsidRPr="00336C11">
        <w:rPr>
          <w:sz w:val="22"/>
          <w:szCs w:val="22"/>
          <w:vertAlign w:val="subscript"/>
          <w:lang w:val="en-GB"/>
        </w:rPr>
        <w:t>1</w:t>
      </w:r>
      <w:r w:rsidRPr="00336C11">
        <w:rPr>
          <w:sz w:val="22"/>
          <w:szCs w:val="22"/>
          <w:lang w:val="en-GB"/>
        </w:rPr>
        <w:t>=HP</w:t>
      </w:r>
      <w:r w:rsidRPr="00336C11">
        <w:rPr>
          <w:sz w:val="22"/>
          <w:szCs w:val="22"/>
          <w:vertAlign w:val="subscript"/>
          <w:lang w:val="en-GB"/>
        </w:rPr>
        <w:t>2</w:t>
      </w:r>
      <w:r w:rsidRPr="00336C11">
        <w:rPr>
          <w:sz w:val="22"/>
          <w:szCs w:val="22"/>
          <w:lang w:val="en-GB"/>
        </w:rPr>
        <w:t>=PDFV/2. As a result of such identity, the two ends of the ZoPA overlap, making shrinking the ZoPA to a very specific point of the once far wider spectrum of the possible prices: that is, PDFV/2.</w:t>
      </w:r>
    </w:p>
    <w:p w14:paraId="2470A140" w14:textId="57EACF23" w:rsidR="00950738" w:rsidRPr="00336C11" w:rsidRDefault="00950738" w:rsidP="00950738">
      <w:pPr>
        <w:ind w:firstLine="567"/>
        <w:jc w:val="both"/>
        <w:rPr>
          <w:sz w:val="22"/>
          <w:szCs w:val="22"/>
          <w:lang w:val="en-GB"/>
        </w:rPr>
      </w:pPr>
      <w:r w:rsidRPr="00336C11">
        <w:rPr>
          <w:sz w:val="22"/>
          <w:szCs w:val="22"/>
          <w:lang w:val="en-GB"/>
        </w:rPr>
        <w:t xml:space="preserve">Intuitively, a ZoPA that consists in only one point does in fact bar bargaining by definition and thereby self-denies its very fundamental </w:t>
      </w:r>
      <w:r w:rsidRPr="00336C11">
        <w:rPr>
          <w:i/>
          <w:iCs/>
          <w:sz w:val="22"/>
          <w:szCs w:val="22"/>
          <w:lang w:val="en-GB"/>
        </w:rPr>
        <w:t>raison d’etre</w:t>
      </w:r>
      <w:r w:rsidRPr="00336C11">
        <w:rPr>
          <w:sz w:val="22"/>
          <w:szCs w:val="22"/>
          <w:lang w:val="en-GB"/>
        </w:rPr>
        <w:t xml:space="preserve">. And in fact, however susceptible to abstract theorizations, the ZoPA is now </w:t>
      </w:r>
      <w:r w:rsidRPr="00336C11">
        <w:rPr>
          <w:i/>
          <w:iCs/>
          <w:sz w:val="22"/>
          <w:szCs w:val="22"/>
          <w:lang w:val="en-GB"/>
        </w:rPr>
        <w:t>de facto</w:t>
      </w:r>
      <w:r w:rsidRPr="00336C11">
        <w:rPr>
          <w:sz w:val="22"/>
          <w:szCs w:val="22"/>
          <w:lang w:val="en-GB"/>
        </w:rPr>
        <w:t xml:space="preserve"> non-existent.</w:t>
      </w:r>
      <w:r w:rsidR="00EB4BE2">
        <w:rPr>
          <w:rStyle w:val="FootnoteReference"/>
          <w:szCs w:val="22"/>
          <w:lang w:val="en-GB"/>
        </w:rPr>
        <w:footnoteReference w:id="72"/>
      </w:r>
      <w:r w:rsidRPr="00336C11">
        <w:rPr>
          <w:sz w:val="22"/>
          <w:szCs w:val="22"/>
          <w:lang w:val="en-GB"/>
        </w:rPr>
        <w:t xml:space="preserve"> </w:t>
      </w:r>
    </w:p>
    <w:p w14:paraId="45EA7231" w14:textId="2E53960C" w:rsidR="00D6452C" w:rsidRPr="009B0CBD" w:rsidRDefault="009B0CBD" w:rsidP="009B0CBD">
      <w:pPr>
        <w:pStyle w:val="Heading2"/>
        <w:numPr>
          <w:ilvl w:val="1"/>
          <w:numId w:val="28"/>
        </w:numPr>
        <w:spacing w:before="480"/>
        <w:ind w:left="567" w:hanging="567"/>
        <w:rPr>
          <w:iCs/>
          <w:sz w:val="22"/>
          <w:szCs w:val="22"/>
          <w:lang w:val="en-GB"/>
        </w:rPr>
      </w:pPr>
      <w:bookmarkStart w:id="59" w:name="_Toc66125116"/>
      <w:bookmarkStart w:id="60" w:name="_Toc67392680"/>
      <w:r>
        <w:rPr>
          <w:iCs/>
          <w:sz w:val="22"/>
          <w:szCs w:val="22"/>
          <w:lang w:val="en-GB"/>
        </w:rPr>
        <w:lastRenderedPageBreak/>
        <w:t>Asymmetric Bargaining Environment</w:t>
      </w:r>
      <w:bookmarkEnd w:id="59"/>
      <w:bookmarkEnd w:id="60"/>
      <w:r>
        <w:rPr>
          <w:iCs/>
          <w:sz w:val="22"/>
          <w:szCs w:val="22"/>
          <w:lang w:val="en-GB"/>
        </w:rPr>
        <w:t xml:space="preserve"> </w:t>
      </w:r>
      <w:bookmarkEnd w:id="57"/>
      <w:bookmarkEnd w:id="58"/>
    </w:p>
    <w:p w14:paraId="60F99806" w14:textId="1FDAF2AB" w:rsidR="0019351E" w:rsidRPr="00336C11" w:rsidRDefault="00EB4BE2" w:rsidP="00BB3F52">
      <w:pPr>
        <w:ind w:firstLine="567"/>
        <w:jc w:val="both"/>
        <w:rPr>
          <w:sz w:val="22"/>
          <w:szCs w:val="22"/>
          <w:lang w:val="en-GB"/>
        </w:rPr>
      </w:pPr>
      <w:r>
        <w:rPr>
          <w:sz w:val="22"/>
          <w:szCs w:val="22"/>
          <w:lang w:val="en-GB"/>
        </w:rPr>
        <w:t xml:space="preserve">In an asymmetric bargaining environment, </w:t>
      </w:r>
      <w:r w:rsidR="00B141EA" w:rsidRPr="00336C11">
        <w:rPr>
          <w:sz w:val="22"/>
          <w:szCs w:val="22"/>
          <w:lang w:val="en-GB"/>
        </w:rPr>
        <w:t xml:space="preserve">Russian Roulette provisions </w:t>
      </w:r>
      <w:r w:rsidR="008C2CFE" w:rsidRPr="00336C11">
        <w:rPr>
          <w:sz w:val="22"/>
          <w:szCs w:val="22"/>
          <w:lang w:val="en-GB"/>
        </w:rPr>
        <w:t xml:space="preserve">and the ensuing buyout procedure do </w:t>
      </w:r>
      <w:r>
        <w:rPr>
          <w:sz w:val="22"/>
          <w:szCs w:val="22"/>
          <w:lang w:val="en-GB"/>
        </w:rPr>
        <w:t>fare less well</w:t>
      </w:r>
      <w:r w:rsidR="00130936">
        <w:rPr>
          <w:sz w:val="22"/>
          <w:szCs w:val="22"/>
          <w:lang w:val="en-GB"/>
        </w:rPr>
        <w:t xml:space="preserve">, creating the preconditions for </w:t>
      </w:r>
      <w:r w:rsidR="0060573D" w:rsidRPr="00336C11">
        <w:rPr>
          <w:sz w:val="22"/>
          <w:szCs w:val="22"/>
          <w:lang w:val="en-GB"/>
        </w:rPr>
        <w:t xml:space="preserve">so-called “equity tunnelling” strategies </w:t>
      </w:r>
      <w:r w:rsidR="0060573D">
        <w:rPr>
          <w:sz w:val="22"/>
          <w:szCs w:val="22"/>
          <w:lang w:val="en-GB"/>
        </w:rPr>
        <w:t xml:space="preserve">resulting in the </w:t>
      </w:r>
      <w:r w:rsidR="0060573D" w:rsidRPr="00336C11">
        <w:rPr>
          <w:sz w:val="22"/>
          <w:szCs w:val="22"/>
          <w:lang w:val="en-GB"/>
        </w:rPr>
        <w:t>“predati</w:t>
      </w:r>
      <w:r w:rsidR="0060573D">
        <w:rPr>
          <w:sz w:val="22"/>
          <w:szCs w:val="22"/>
          <w:lang w:val="en-GB"/>
        </w:rPr>
        <w:t>on</w:t>
      </w:r>
      <w:r w:rsidR="0060573D" w:rsidRPr="00336C11">
        <w:rPr>
          <w:sz w:val="22"/>
          <w:szCs w:val="22"/>
          <w:lang w:val="en-GB"/>
        </w:rPr>
        <w:t xml:space="preserve">” </w:t>
      </w:r>
      <w:r w:rsidR="0060573D">
        <w:rPr>
          <w:sz w:val="22"/>
          <w:szCs w:val="22"/>
          <w:lang w:val="en-GB"/>
        </w:rPr>
        <w:t xml:space="preserve">of </w:t>
      </w:r>
      <w:r w:rsidR="0060573D" w:rsidRPr="00336C11">
        <w:rPr>
          <w:sz w:val="22"/>
          <w:szCs w:val="22"/>
          <w:lang w:val="en-GB"/>
        </w:rPr>
        <w:t>the non-triggering shareholder.</w:t>
      </w:r>
      <w:r w:rsidR="0060573D" w:rsidRPr="00336C11">
        <w:rPr>
          <w:rStyle w:val="FootnoteReference"/>
          <w:rFonts w:ascii="Times New Roman" w:hAnsi="Times New Roman"/>
          <w:sz w:val="22"/>
          <w:szCs w:val="22"/>
          <w:lang w:val="en-GB"/>
        </w:rPr>
        <w:footnoteReference w:id="73"/>
      </w:r>
      <w:r w:rsidR="0060573D" w:rsidRPr="00336C11">
        <w:rPr>
          <w:sz w:val="22"/>
          <w:szCs w:val="22"/>
          <w:lang w:val="en-GB"/>
        </w:rPr>
        <w:t xml:space="preserve"> </w:t>
      </w:r>
      <w:r w:rsidR="00130936">
        <w:rPr>
          <w:sz w:val="22"/>
          <w:szCs w:val="22"/>
          <w:lang w:val="en-GB"/>
        </w:rPr>
        <w:t xml:space="preserve">In essence, the </w:t>
      </w:r>
      <w:r w:rsidR="0060573D" w:rsidRPr="00336C11">
        <w:rPr>
          <w:sz w:val="22"/>
          <w:szCs w:val="22"/>
          <w:lang w:val="en-GB"/>
        </w:rPr>
        <w:t xml:space="preserve">triggering shareholder </w:t>
      </w:r>
      <w:r w:rsidR="00130936">
        <w:rPr>
          <w:sz w:val="22"/>
          <w:szCs w:val="22"/>
          <w:lang w:val="en-GB"/>
        </w:rPr>
        <w:t xml:space="preserve">is </w:t>
      </w:r>
      <w:r w:rsidR="0060573D" w:rsidRPr="00336C11">
        <w:rPr>
          <w:sz w:val="22"/>
          <w:szCs w:val="22"/>
          <w:lang w:val="en-GB"/>
        </w:rPr>
        <w:t>be able – in a manner similar to so-called “freeze-outs”</w:t>
      </w:r>
      <w:r w:rsidR="0060573D" w:rsidRPr="00336C11">
        <w:rPr>
          <w:rStyle w:val="FootnoteReference"/>
          <w:rFonts w:ascii="Times New Roman" w:hAnsi="Times New Roman"/>
          <w:sz w:val="22"/>
          <w:szCs w:val="22"/>
          <w:lang w:val="en-GB"/>
        </w:rPr>
        <w:footnoteReference w:id="74"/>
      </w:r>
      <w:r w:rsidR="0060573D" w:rsidRPr="00336C11">
        <w:rPr>
          <w:sz w:val="22"/>
          <w:szCs w:val="22"/>
          <w:lang w:val="en-GB"/>
        </w:rPr>
        <w:t xml:space="preserve"> – to literally «[…] force [the non-triggering shareholder] to sell [her] shares … [at a unilaterally set price]»,</w:t>
      </w:r>
      <w:r w:rsidR="0060573D" w:rsidRPr="00336C11">
        <w:rPr>
          <w:rStyle w:val="FootnoteReference"/>
          <w:rFonts w:ascii="Times New Roman" w:hAnsi="Times New Roman"/>
          <w:sz w:val="22"/>
          <w:szCs w:val="22"/>
          <w:lang w:val="en-GB"/>
        </w:rPr>
        <w:footnoteReference w:id="75"/>
      </w:r>
      <w:r w:rsidR="0060573D" w:rsidRPr="00336C11">
        <w:rPr>
          <w:sz w:val="22"/>
          <w:szCs w:val="22"/>
          <w:lang w:val="en-GB"/>
        </w:rPr>
        <w:t xml:space="preserve"> </w:t>
      </w:r>
      <w:r w:rsidR="0060573D">
        <w:rPr>
          <w:sz w:val="22"/>
          <w:szCs w:val="22"/>
          <w:lang w:val="en-GB"/>
        </w:rPr>
        <w:t xml:space="preserve">eventually </w:t>
      </w:r>
      <w:r w:rsidR="0060573D" w:rsidRPr="00336C11">
        <w:rPr>
          <w:sz w:val="22"/>
          <w:szCs w:val="22"/>
          <w:lang w:val="en-GB"/>
        </w:rPr>
        <w:t xml:space="preserve">buying him out for cheap. </w:t>
      </w:r>
    </w:p>
    <w:p w14:paraId="52C92349" w14:textId="1A3F1545" w:rsidR="007940A5" w:rsidRPr="007940A5" w:rsidRDefault="007940A5" w:rsidP="007940A5">
      <w:pPr>
        <w:pStyle w:val="Heading3"/>
        <w:numPr>
          <w:ilvl w:val="2"/>
          <w:numId w:val="28"/>
        </w:numPr>
        <w:rPr>
          <w:sz w:val="22"/>
          <w:lang w:val="en-GB"/>
        </w:rPr>
      </w:pPr>
      <w:bookmarkStart w:id="61" w:name="_Toc66125117"/>
      <w:bookmarkStart w:id="62" w:name="_Toc67392681"/>
      <w:bookmarkStart w:id="63" w:name="_Toc64465227"/>
      <w:r w:rsidRPr="007940A5">
        <w:rPr>
          <w:sz w:val="22"/>
          <w:lang w:val="en-GB"/>
        </w:rPr>
        <w:t>Information Asymmetries</w:t>
      </w:r>
      <w:bookmarkEnd w:id="61"/>
      <w:bookmarkEnd w:id="62"/>
    </w:p>
    <w:p w14:paraId="3A43DBE8" w14:textId="2925B51E" w:rsidR="00032E2E" w:rsidRDefault="00AD1636" w:rsidP="00BB3F52">
      <w:pPr>
        <w:ind w:firstLine="567"/>
        <w:jc w:val="both"/>
        <w:rPr>
          <w:sz w:val="22"/>
          <w:szCs w:val="22"/>
          <w:lang w:val="en-GB"/>
        </w:rPr>
      </w:pPr>
      <w:r w:rsidRPr="00336C11">
        <w:rPr>
          <w:sz w:val="22"/>
          <w:szCs w:val="22"/>
          <w:lang w:val="en-GB"/>
        </w:rPr>
        <w:t xml:space="preserve">To begin with, the buyout procedure may malfunction if the deadlocked shareholders have access to different information as regards the firm. </w:t>
      </w:r>
    </w:p>
    <w:p w14:paraId="3BEAA3D3" w14:textId="138D6FB7" w:rsidR="00AD1636" w:rsidRPr="00336C11" w:rsidRDefault="00032E2E" w:rsidP="00BB3F52">
      <w:pPr>
        <w:ind w:firstLine="567"/>
        <w:jc w:val="both"/>
        <w:rPr>
          <w:sz w:val="22"/>
          <w:szCs w:val="22"/>
          <w:lang w:val="en-GB"/>
        </w:rPr>
      </w:pPr>
      <w:r>
        <w:rPr>
          <w:sz w:val="22"/>
          <w:szCs w:val="22"/>
          <w:lang w:val="en-GB"/>
        </w:rPr>
        <w:t xml:space="preserve">Recall – and adapt - </w:t>
      </w:r>
      <w:r w:rsidR="00AD1636" w:rsidRPr="00336C11">
        <w:rPr>
          <w:sz w:val="22"/>
          <w:szCs w:val="22"/>
          <w:lang w:val="en-GB"/>
        </w:rPr>
        <w:t xml:space="preserve">the situation </w:t>
      </w:r>
      <w:r>
        <w:rPr>
          <w:sz w:val="22"/>
          <w:szCs w:val="22"/>
          <w:lang w:val="en-GB"/>
        </w:rPr>
        <w:t xml:space="preserve">considered above. </w:t>
      </w:r>
      <w:r w:rsidR="00AD1636" w:rsidRPr="00336C11">
        <w:rPr>
          <w:sz w:val="22"/>
          <w:szCs w:val="22"/>
          <w:lang w:val="en-GB"/>
        </w:rPr>
        <w:t>(i</w:t>
      </w:r>
      <w:r w:rsidRPr="00336C11">
        <w:rPr>
          <w:sz w:val="22"/>
          <w:szCs w:val="22"/>
          <w:lang w:val="en-GB"/>
        </w:rPr>
        <w:t>)</w:t>
      </w:r>
      <w:r>
        <w:rPr>
          <w:sz w:val="22"/>
          <w:szCs w:val="22"/>
          <w:lang w:val="en-GB"/>
        </w:rPr>
        <w:t xml:space="preserve"> T</w:t>
      </w:r>
      <w:r w:rsidR="00AD1636" w:rsidRPr="00336C11">
        <w:rPr>
          <w:sz w:val="22"/>
          <w:szCs w:val="22"/>
          <w:lang w:val="en-GB"/>
        </w:rPr>
        <w:t xml:space="preserve">he triggering shareholder is more knowledgeable than the non-triggering shareholder. Besides, </w:t>
      </w:r>
      <w:r w:rsidR="00AD1636">
        <w:rPr>
          <w:sz w:val="22"/>
          <w:szCs w:val="22"/>
          <w:lang w:val="en-GB"/>
        </w:rPr>
        <w:t xml:space="preserve">(ii) </w:t>
      </w:r>
      <w:r w:rsidR="00AD1636" w:rsidRPr="00336C11">
        <w:rPr>
          <w:sz w:val="22"/>
          <w:szCs w:val="22"/>
          <w:lang w:val="en-GB"/>
        </w:rPr>
        <w:t xml:space="preserve">the triggering shareholder knows that he has superior information and has but an however vague idea as to what are the pieces of information that the non-triggering shareholder does not have, so as to be able to come up with a rough inference as to the non-triggering shareholder’s estimate of post-deadlock firm value. </w:t>
      </w:r>
      <w:r w:rsidR="00AD1636">
        <w:rPr>
          <w:sz w:val="22"/>
          <w:szCs w:val="22"/>
          <w:lang w:val="en-GB"/>
        </w:rPr>
        <w:t xml:space="preserve">Finally, </w:t>
      </w:r>
      <w:r w:rsidR="00AD1636" w:rsidRPr="00336C11">
        <w:rPr>
          <w:sz w:val="22"/>
          <w:szCs w:val="22"/>
          <w:lang w:val="en-GB"/>
        </w:rPr>
        <w:t>(</w:t>
      </w:r>
      <w:r w:rsidR="00AD1636">
        <w:rPr>
          <w:sz w:val="22"/>
          <w:szCs w:val="22"/>
          <w:lang w:val="en-GB"/>
        </w:rPr>
        <w:t>i</w:t>
      </w:r>
      <w:r w:rsidR="00AD1636" w:rsidRPr="00336C11">
        <w:rPr>
          <w:sz w:val="22"/>
          <w:szCs w:val="22"/>
          <w:lang w:val="en-GB"/>
        </w:rPr>
        <w:t>ii) the non-triggering also ignores the quantity and/or quality of the superior information to which the triggering shareholder is privy</w:t>
      </w:r>
      <w:r w:rsidR="00AD1636">
        <w:rPr>
          <w:sz w:val="22"/>
          <w:szCs w:val="22"/>
          <w:lang w:val="en-GB"/>
        </w:rPr>
        <w:t xml:space="preserve"> and for some reasons he is unable to infer anything meaningful from the triggering shareholder’s behaviour – that is, from his decision as to price-setting.</w:t>
      </w:r>
    </w:p>
    <w:p w14:paraId="339BBCD4" w14:textId="77777777" w:rsidR="00AD1636" w:rsidRPr="00336C11" w:rsidRDefault="00AD1636" w:rsidP="00AD1636">
      <w:pPr>
        <w:ind w:firstLine="567"/>
        <w:jc w:val="both"/>
        <w:rPr>
          <w:sz w:val="22"/>
          <w:szCs w:val="22"/>
          <w:lang w:val="en-US"/>
        </w:rPr>
      </w:pPr>
      <w:r w:rsidRPr="00336C11">
        <w:rPr>
          <w:sz w:val="22"/>
          <w:szCs w:val="22"/>
          <w:lang w:val="en-GB"/>
        </w:rPr>
        <w:t xml:space="preserve">In such scenario, the buyout procedure for which Russian Roulette provisions make the bed may fail at propitiating fair buyouts. </w:t>
      </w:r>
    </w:p>
    <w:p w14:paraId="78A7EF6C" w14:textId="34036D56" w:rsidR="00AD1636" w:rsidRPr="00336C11" w:rsidRDefault="00AD1636" w:rsidP="00AD1636">
      <w:pPr>
        <w:ind w:firstLine="567"/>
        <w:jc w:val="both"/>
        <w:rPr>
          <w:sz w:val="22"/>
          <w:szCs w:val="22"/>
          <w:lang w:val="en-US"/>
        </w:rPr>
      </w:pPr>
      <w:r w:rsidRPr="00336C11">
        <w:rPr>
          <w:sz w:val="22"/>
          <w:szCs w:val="22"/>
          <w:lang w:val="en-GB"/>
        </w:rPr>
        <w:t xml:space="preserve">Under perfect symmetry, the deadlocked shareholders come to identical estimates as regards both deadlocked firm value DFV and, and more importantly, as to expected post-deadlock firm value PDFV and as to their shareholdings’ expected value EP1 and EP2, such that EP1=EP2=PDFV/2. Accordingly, the highest prices HP1 and HP2 that either shareholder would pay to secure full control of the firm and the lowest prices LP1 and LP2 at which they would sell out to the other deadlocked shareholders are </w:t>
      </w:r>
      <w:r w:rsidRPr="00336C11">
        <w:rPr>
          <w:i/>
          <w:iCs/>
          <w:sz w:val="22"/>
          <w:szCs w:val="22"/>
          <w:lang w:val="en-GB"/>
        </w:rPr>
        <w:t>identical</w:t>
      </w:r>
      <w:r w:rsidRPr="00336C11">
        <w:rPr>
          <w:sz w:val="22"/>
          <w:szCs w:val="22"/>
          <w:lang w:val="en-GB"/>
        </w:rPr>
        <w:t>, too. That is, HP</w:t>
      </w:r>
      <w:r w:rsidRPr="00336C11">
        <w:rPr>
          <w:sz w:val="22"/>
          <w:szCs w:val="22"/>
          <w:vertAlign w:val="subscript"/>
          <w:lang w:val="en-GB"/>
        </w:rPr>
        <w:t>1</w:t>
      </w:r>
      <w:r w:rsidRPr="00336C11">
        <w:rPr>
          <w:sz w:val="22"/>
          <w:szCs w:val="22"/>
          <w:lang w:val="en-GB"/>
        </w:rPr>
        <w:t>=LP</w:t>
      </w:r>
      <w:r w:rsidRPr="00336C11">
        <w:rPr>
          <w:sz w:val="22"/>
          <w:szCs w:val="22"/>
          <w:vertAlign w:val="subscript"/>
          <w:lang w:val="en-GB"/>
        </w:rPr>
        <w:t>1</w:t>
      </w:r>
      <w:r w:rsidRPr="00336C11">
        <w:rPr>
          <w:sz w:val="22"/>
          <w:szCs w:val="22"/>
          <w:lang w:val="en-GB"/>
        </w:rPr>
        <w:t>=HP</w:t>
      </w:r>
      <w:r w:rsidRPr="00336C11">
        <w:rPr>
          <w:sz w:val="22"/>
          <w:szCs w:val="22"/>
          <w:vertAlign w:val="subscript"/>
          <w:lang w:val="en-GB"/>
        </w:rPr>
        <w:t>1</w:t>
      </w:r>
      <w:r w:rsidRPr="00336C11">
        <w:rPr>
          <w:sz w:val="22"/>
          <w:szCs w:val="22"/>
          <w:lang w:val="en-GB"/>
        </w:rPr>
        <w:t>=LP</w:t>
      </w:r>
      <w:r w:rsidRPr="00336C11">
        <w:rPr>
          <w:sz w:val="22"/>
          <w:szCs w:val="22"/>
          <w:vertAlign w:val="subscript"/>
          <w:lang w:val="en-GB"/>
        </w:rPr>
        <w:t>2</w:t>
      </w:r>
      <w:r w:rsidRPr="00336C11">
        <w:rPr>
          <w:sz w:val="22"/>
          <w:szCs w:val="22"/>
          <w:lang w:val="en-GB"/>
        </w:rPr>
        <w:t xml:space="preserve">=PDFV/2. Accordingly, the deadlocked shareholders would neither buy for anything more nor sell for anything less than half post-deadlock firm value. Given the way in which </w:t>
      </w:r>
      <w:r w:rsidRPr="00336C11">
        <w:rPr>
          <w:sz w:val="22"/>
          <w:szCs w:val="22"/>
          <w:lang w:val="en-US"/>
        </w:rPr>
        <w:t>Call Option 1 and Call Option 2 interact, any attempt from the triggering shareholder to secure more than PDFV/2 would backfire. Under perfect bilateral asymmetries, in fact, Call Option 2 exerts a disciplining effect on the triggering shareholder’s decision to set the strike price for Call Option 1 that generates the self-regulating dynamics responsible for fair buyouts.</w:t>
      </w:r>
      <w:r w:rsidRPr="00336C11">
        <w:rPr>
          <w:rStyle w:val="FootnoteReference"/>
          <w:rFonts w:ascii="Times New Roman" w:hAnsi="Times New Roman"/>
          <w:sz w:val="22"/>
          <w:szCs w:val="22"/>
          <w:lang w:val="en-GB"/>
        </w:rPr>
        <w:footnoteReference w:id="76"/>
      </w:r>
      <w:r w:rsidRPr="00336C11">
        <w:rPr>
          <w:sz w:val="22"/>
          <w:szCs w:val="22"/>
          <w:lang w:val="en-US"/>
        </w:rPr>
        <w:t xml:space="preserve"> </w:t>
      </w:r>
    </w:p>
    <w:p w14:paraId="5D98FD57" w14:textId="77777777" w:rsidR="00AD1636" w:rsidRPr="00336C11" w:rsidRDefault="00AD1636" w:rsidP="00AD1636">
      <w:pPr>
        <w:ind w:firstLine="567"/>
        <w:jc w:val="both"/>
        <w:rPr>
          <w:sz w:val="22"/>
          <w:szCs w:val="22"/>
          <w:lang w:val="en-GB"/>
        </w:rPr>
      </w:pPr>
      <w:r w:rsidRPr="00336C11">
        <w:rPr>
          <w:sz w:val="22"/>
          <w:szCs w:val="22"/>
          <w:lang w:val="en-GB"/>
        </w:rPr>
        <w:t xml:space="preserve">Under information asymmetries, instead, the deadlocked shareholders, although coming up with identical estimates as to the deadlocked firm value DFV, have different </w:t>
      </w:r>
      <w:r w:rsidRPr="00336C11">
        <w:rPr>
          <w:sz w:val="22"/>
          <w:szCs w:val="22"/>
          <w:lang w:val="en-GB"/>
        </w:rPr>
        <w:lastRenderedPageBreak/>
        <w:t>estimates as to post-deadlock firm value. Here, the triggering shareholder’s estimate PDFV</w:t>
      </w:r>
      <w:r w:rsidRPr="00336C11">
        <w:rPr>
          <w:sz w:val="22"/>
          <w:szCs w:val="22"/>
          <w:vertAlign w:val="subscript"/>
          <w:lang w:val="en-GB"/>
        </w:rPr>
        <w:t>1</w:t>
      </w:r>
      <w:r w:rsidRPr="00336C11">
        <w:rPr>
          <w:sz w:val="22"/>
          <w:szCs w:val="22"/>
          <w:lang w:val="en-GB"/>
        </w:rPr>
        <w:t xml:space="preserve"> exceeds the non-triggering shareholder’s estimate and PDFV</w:t>
      </w:r>
      <w:r w:rsidRPr="00336C11">
        <w:rPr>
          <w:sz w:val="22"/>
          <w:szCs w:val="22"/>
          <w:vertAlign w:val="subscript"/>
          <w:lang w:val="en-GB"/>
        </w:rPr>
        <w:t>2</w:t>
      </w:r>
      <w:r w:rsidRPr="00336C11">
        <w:rPr>
          <w:sz w:val="22"/>
          <w:szCs w:val="22"/>
          <w:vertAlign w:val="superscript"/>
          <w:lang w:val="en-GB"/>
        </w:rPr>
        <w:t xml:space="preserve">, </w:t>
      </w:r>
      <w:r w:rsidRPr="00336C11">
        <w:rPr>
          <w:sz w:val="22"/>
          <w:szCs w:val="22"/>
          <w:lang w:val="en-GB"/>
        </w:rPr>
        <w:t>such that PDFV</w:t>
      </w:r>
      <w:r w:rsidRPr="00336C11">
        <w:rPr>
          <w:sz w:val="22"/>
          <w:szCs w:val="22"/>
          <w:vertAlign w:val="subscript"/>
          <w:lang w:val="en-GB"/>
        </w:rPr>
        <w:t>1</w:t>
      </w:r>
      <w:r w:rsidRPr="00336C11">
        <w:rPr>
          <w:sz w:val="22"/>
          <w:szCs w:val="22"/>
          <w:lang w:val="en-GB"/>
        </w:rPr>
        <w:t>&gt;PDFV</w:t>
      </w:r>
      <w:r w:rsidRPr="00336C11">
        <w:rPr>
          <w:sz w:val="22"/>
          <w:szCs w:val="22"/>
          <w:vertAlign w:val="subscript"/>
          <w:lang w:val="en-GB"/>
        </w:rPr>
        <w:t>2</w:t>
      </w:r>
      <w:r w:rsidRPr="00336C11">
        <w:rPr>
          <w:sz w:val="22"/>
          <w:szCs w:val="22"/>
          <w:lang w:val="en-GB"/>
        </w:rPr>
        <w:t xml:space="preserve">. Differences in the deadlocked shareholders’ estimates as to post-deadlock firm value intuitively affect deadlocked shareholders’ estimates as to the expected value of their shareholdings, which are now </w:t>
      </w:r>
      <w:r w:rsidRPr="00336C11">
        <w:rPr>
          <w:i/>
          <w:sz w:val="22"/>
          <w:szCs w:val="22"/>
          <w:lang w:val="en-GB"/>
        </w:rPr>
        <w:t>different</w:t>
      </w:r>
      <w:r w:rsidRPr="00336C11">
        <w:rPr>
          <w:sz w:val="22"/>
          <w:szCs w:val="22"/>
          <w:lang w:val="en-GB"/>
        </w:rPr>
        <w:t xml:space="preserve">. Hence, they also affect both (i) the highest prices HP1 and HP2 at which the triggering shareholder and the non-triggering shareholder would buy the other deadlocked shareholder out, respectively; and (ii) the lowest prices LP1 and LP2 at which they would sell out to the other deadlocked shareholder. Obviously, both such highest prices HP1 and HP2 and lowest prices LP1 and LP2 are now </w:t>
      </w:r>
      <w:r w:rsidRPr="00336C11">
        <w:rPr>
          <w:i/>
          <w:iCs/>
          <w:sz w:val="22"/>
          <w:szCs w:val="22"/>
          <w:lang w:val="en-GB"/>
        </w:rPr>
        <w:t>different</w:t>
      </w:r>
      <w:r w:rsidRPr="00336C11">
        <w:rPr>
          <w:sz w:val="22"/>
          <w:szCs w:val="22"/>
          <w:lang w:val="en-GB"/>
        </w:rPr>
        <w:t>, too. The highest price HP</w:t>
      </w:r>
      <w:r w:rsidRPr="00336C11">
        <w:rPr>
          <w:sz w:val="22"/>
          <w:szCs w:val="22"/>
          <w:vertAlign w:val="subscript"/>
          <w:lang w:val="en-GB"/>
        </w:rPr>
        <w:t>1</w:t>
      </w:r>
      <w:r w:rsidRPr="00336C11">
        <w:rPr>
          <w:sz w:val="22"/>
          <w:szCs w:val="22"/>
          <w:lang w:val="en-GB"/>
        </w:rPr>
        <w:t xml:space="preserve"> that the triggering shareholder would pay, as well as the lowest price LP1 at which he would sell out to the non-triggering shareholder are such that HP</w:t>
      </w:r>
      <w:r w:rsidRPr="00336C11">
        <w:rPr>
          <w:sz w:val="22"/>
          <w:szCs w:val="22"/>
          <w:vertAlign w:val="subscript"/>
          <w:lang w:val="en-GB"/>
        </w:rPr>
        <w:t>1</w:t>
      </w:r>
      <w:r w:rsidRPr="00336C11">
        <w:rPr>
          <w:sz w:val="22"/>
          <w:szCs w:val="22"/>
          <w:lang w:val="en-GB"/>
        </w:rPr>
        <w:t>=LP</w:t>
      </w:r>
      <w:r w:rsidRPr="00336C11">
        <w:rPr>
          <w:sz w:val="22"/>
          <w:szCs w:val="22"/>
          <w:vertAlign w:val="subscript"/>
          <w:lang w:val="en-GB"/>
        </w:rPr>
        <w:t>1</w:t>
      </w:r>
      <w:r w:rsidRPr="00336C11">
        <w:rPr>
          <w:sz w:val="22"/>
          <w:szCs w:val="22"/>
          <w:lang w:val="en-GB"/>
        </w:rPr>
        <w:t>=PDFV</w:t>
      </w:r>
      <w:r w:rsidRPr="00336C11">
        <w:rPr>
          <w:sz w:val="22"/>
          <w:szCs w:val="22"/>
          <w:vertAlign w:val="subscript"/>
          <w:lang w:val="en-GB"/>
        </w:rPr>
        <w:t>1</w:t>
      </w:r>
      <w:r w:rsidRPr="00336C11">
        <w:rPr>
          <w:sz w:val="22"/>
          <w:szCs w:val="22"/>
          <w:lang w:val="en-GB"/>
        </w:rPr>
        <w:t>/2. The highest price HP</w:t>
      </w:r>
      <w:r w:rsidRPr="00336C11">
        <w:rPr>
          <w:sz w:val="22"/>
          <w:szCs w:val="22"/>
          <w:vertAlign w:val="subscript"/>
          <w:lang w:val="en-GB"/>
        </w:rPr>
        <w:t>2</w:t>
      </w:r>
      <w:r w:rsidRPr="00336C11">
        <w:rPr>
          <w:sz w:val="22"/>
          <w:szCs w:val="22"/>
          <w:lang w:val="en-GB"/>
        </w:rPr>
        <w:t xml:space="preserve"> that the non-triggering shareholder would pay, as well as the lowest price LP2 at which he would sell out to the triggering shareholder are such that HP</w:t>
      </w:r>
      <w:r w:rsidRPr="00336C11">
        <w:rPr>
          <w:sz w:val="22"/>
          <w:szCs w:val="22"/>
          <w:vertAlign w:val="subscript"/>
          <w:lang w:val="en-GB"/>
        </w:rPr>
        <w:t>2</w:t>
      </w:r>
      <w:r w:rsidRPr="00336C11">
        <w:rPr>
          <w:sz w:val="22"/>
          <w:szCs w:val="22"/>
          <w:lang w:val="en-GB"/>
        </w:rPr>
        <w:t>=LP</w:t>
      </w:r>
      <w:r w:rsidRPr="00336C11">
        <w:rPr>
          <w:sz w:val="22"/>
          <w:szCs w:val="22"/>
          <w:vertAlign w:val="subscript"/>
          <w:lang w:val="en-GB"/>
        </w:rPr>
        <w:t>2</w:t>
      </w:r>
      <w:r w:rsidRPr="00336C11">
        <w:rPr>
          <w:sz w:val="22"/>
          <w:szCs w:val="22"/>
          <w:lang w:val="en-GB"/>
        </w:rPr>
        <w:t>=PDFV</w:t>
      </w:r>
      <w:r w:rsidRPr="00336C11">
        <w:rPr>
          <w:sz w:val="22"/>
          <w:szCs w:val="22"/>
          <w:vertAlign w:val="subscript"/>
          <w:lang w:val="en-GB"/>
        </w:rPr>
        <w:t>2</w:t>
      </w:r>
      <w:r w:rsidRPr="00336C11">
        <w:rPr>
          <w:sz w:val="22"/>
          <w:szCs w:val="22"/>
          <w:lang w:val="en-GB"/>
        </w:rPr>
        <w:t>/2, instead. Being PDFV</w:t>
      </w:r>
      <w:r w:rsidRPr="00336C11">
        <w:rPr>
          <w:sz w:val="22"/>
          <w:szCs w:val="22"/>
          <w:vertAlign w:val="subscript"/>
          <w:lang w:val="en-GB"/>
        </w:rPr>
        <w:t>1</w:t>
      </w:r>
      <w:r w:rsidRPr="00336C11">
        <w:rPr>
          <w:sz w:val="22"/>
          <w:szCs w:val="22"/>
          <w:lang w:val="en-GB"/>
        </w:rPr>
        <w:t>&gt;PDFV</w:t>
      </w:r>
      <w:r w:rsidRPr="00336C11">
        <w:rPr>
          <w:sz w:val="22"/>
          <w:szCs w:val="22"/>
          <w:vertAlign w:val="subscript"/>
          <w:lang w:val="en-GB"/>
        </w:rPr>
        <w:t>2</w:t>
      </w:r>
      <w:r w:rsidRPr="00336C11">
        <w:rPr>
          <w:sz w:val="22"/>
          <w:szCs w:val="22"/>
          <w:lang w:val="en-GB"/>
        </w:rPr>
        <w:t>, then obviously HP</w:t>
      </w:r>
      <w:r w:rsidRPr="00336C11">
        <w:rPr>
          <w:sz w:val="22"/>
          <w:szCs w:val="22"/>
          <w:vertAlign w:val="subscript"/>
          <w:lang w:val="en-GB"/>
        </w:rPr>
        <w:t>1</w:t>
      </w:r>
      <w:r w:rsidRPr="00336C11">
        <w:rPr>
          <w:sz w:val="22"/>
          <w:szCs w:val="22"/>
          <w:lang w:val="en-GB"/>
        </w:rPr>
        <w:t>=LP</w:t>
      </w:r>
      <w:r w:rsidRPr="00336C11">
        <w:rPr>
          <w:sz w:val="22"/>
          <w:szCs w:val="22"/>
          <w:vertAlign w:val="subscript"/>
          <w:lang w:val="en-GB"/>
        </w:rPr>
        <w:t>1</w:t>
      </w:r>
      <w:r w:rsidRPr="00336C11">
        <w:rPr>
          <w:sz w:val="22"/>
          <w:szCs w:val="22"/>
          <w:lang w:val="en-GB"/>
        </w:rPr>
        <w:t>=PDFV</w:t>
      </w:r>
      <w:r w:rsidRPr="00336C11">
        <w:rPr>
          <w:sz w:val="22"/>
          <w:szCs w:val="22"/>
          <w:vertAlign w:val="subscript"/>
          <w:lang w:val="en-GB"/>
        </w:rPr>
        <w:t>1</w:t>
      </w:r>
      <w:r w:rsidRPr="00336C11">
        <w:rPr>
          <w:sz w:val="22"/>
          <w:szCs w:val="22"/>
          <w:lang w:val="en-GB"/>
        </w:rPr>
        <w:t>/2&gt; HP</w:t>
      </w:r>
      <w:r w:rsidRPr="00336C11">
        <w:rPr>
          <w:sz w:val="22"/>
          <w:szCs w:val="22"/>
          <w:vertAlign w:val="subscript"/>
          <w:lang w:val="en-GB"/>
        </w:rPr>
        <w:t>2</w:t>
      </w:r>
      <w:r w:rsidRPr="00336C11">
        <w:rPr>
          <w:sz w:val="22"/>
          <w:szCs w:val="22"/>
          <w:lang w:val="en-GB"/>
        </w:rPr>
        <w:t>=LP</w:t>
      </w:r>
      <w:r w:rsidRPr="00336C11">
        <w:rPr>
          <w:sz w:val="22"/>
          <w:szCs w:val="22"/>
          <w:vertAlign w:val="subscript"/>
          <w:lang w:val="en-GB"/>
        </w:rPr>
        <w:t>2</w:t>
      </w:r>
      <w:r w:rsidRPr="00336C11">
        <w:rPr>
          <w:sz w:val="22"/>
          <w:szCs w:val="22"/>
          <w:lang w:val="en-GB"/>
        </w:rPr>
        <w:t>=PDFV</w:t>
      </w:r>
      <w:r w:rsidRPr="00336C11">
        <w:rPr>
          <w:sz w:val="22"/>
          <w:szCs w:val="22"/>
          <w:vertAlign w:val="subscript"/>
          <w:lang w:val="en-GB"/>
        </w:rPr>
        <w:t>2</w:t>
      </w:r>
      <w:r w:rsidRPr="00336C11">
        <w:rPr>
          <w:sz w:val="22"/>
          <w:szCs w:val="22"/>
          <w:lang w:val="en-GB"/>
        </w:rPr>
        <w:t xml:space="preserve">/2. </w:t>
      </w:r>
    </w:p>
    <w:p w14:paraId="513BDD3A" w14:textId="7A7B5C6E" w:rsidR="00AD1636" w:rsidRPr="00336C11" w:rsidRDefault="00AD1636" w:rsidP="00AD1636">
      <w:pPr>
        <w:ind w:firstLine="567"/>
        <w:jc w:val="both"/>
        <w:rPr>
          <w:sz w:val="22"/>
          <w:szCs w:val="22"/>
          <w:lang w:val="en-GB"/>
        </w:rPr>
      </w:pPr>
      <w:r w:rsidRPr="00336C11">
        <w:rPr>
          <w:sz w:val="22"/>
          <w:szCs w:val="22"/>
          <w:lang w:val="en-GB"/>
        </w:rPr>
        <w:t xml:space="preserve">Knowing that PDFV1&gt;PDFV2, no Rawlsian veil falls before the triggering shareholder’s eyes. Rather, he has strong incentives to buy the non-triggering shareholder out, for this course of action would enable him to increase his payoff by capturing his own </w:t>
      </w:r>
      <w:r w:rsidRPr="00336C11">
        <w:rPr>
          <w:i/>
          <w:sz w:val="22"/>
          <w:szCs w:val="22"/>
          <w:lang w:val="en-GB"/>
        </w:rPr>
        <w:t>pro rata</w:t>
      </w:r>
      <w:r w:rsidRPr="00336C11">
        <w:rPr>
          <w:sz w:val="22"/>
          <w:szCs w:val="22"/>
          <w:lang w:val="en-GB"/>
        </w:rPr>
        <w:t xml:space="preserve"> fraction of the greater additional value that he can generate by securing full control of the firm – that is, PDFV1/2-PDFV2/2. As a designated buyer who knows where PDFV2 roughly stands </w:t>
      </w:r>
      <w:r w:rsidR="0097568A">
        <w:rPr>
          <w:sz w:val="22"/>
          <w:szCs w:val="22"/>
          <w:lang w:val="en-GB"/>
        </w:rPr>
        <w:t xml:space="preserve">as well as </w:t>
      </w:r>
      <w:r w:rsidRPr="00336C11">
        <w:rPr>
          <w:sz w:val="22"/>
          <w:szCs w:val="22"/>
          <w:lang w:val="en-GB"/>
        </w:rPr>
        <w:t xml:space="preserve">that the non-triggering shareholder would sell for </w:t>
      </w:r>
      <w:r w:rsidR="0097568A">
        <w:rPr>
          <w:sz w:val="22"/>
          <w:szCs w:val="22"/>
          <w:lang w:val="en-GB"/>
        </w:rPr>
        <w:t>any price P=</w:t>
      </w:r>
      <w:r w:rsidRPr="00336C11">
        <w:rPr>
          <w:sz w:val="22"/>
          <w:szCs w:val="22"/>
          <w:lang w:val="en-GB"/>
        </w:rPr>
        <w:t xml:space="preserve"> </w:t>
      </w:r>
      <w:r w:rsidR="0097568A">
        <w:rPr>
          <w:sz w:val="22"/>
          <w:szCs w:val="22"/>
          <w:lang w:val="en-GB"/>
        </w:rPr>
        <w:t>(</w:t>
      </w:r>
      <w:r w:rsidRPr="00336C11">
        <w:rPr>
          <w:sz w:val="22"/>
          <w:szCs w:val="22"/>
          <w:lang w:val="en-GB"/>
        </w:rPr>
        <w:t>PDFV2</w:t>
      </w:r>
      <w:r w:rsidR="0097568A">
        <w:rPr>
          <w:sz w:val="22"/>
          <w:szCs w:val="22"/>
          <w:lang w:val="en-GB"/>
        </w:rPr>
        <w:t>-DFV)+X</w:t>
      </w:r>
      <w:r w:rsidRPr="00336C11">
        <w:rPr>
          <w:sz w:val="22"/>
          <w:szCs w:val="22"/>
          <w:lang w:val="en-GB"/>
        </w:rPr>
        <w:t xml:space="preserve"> with virtual certainty, the triggering shareholder is also the position to capture relatively more than his </w:t>
      </w:r>
      <w:r w:rsidRPr="00336C11">
        <w:rPr>
          <w:i/>
          <w:sz w:val="22"/>
          <w:szCs w:val="22"/>
          <w:lang w:val="en-GB"/>
        </w:rPr>
        <w:t>pro rata</w:t>
      </w:r>
      <w:r w:rsidRPr="00336C11">
        <w:rPr>
          <w:sz w:val="22"/>
          <w:szCs w:val="22"/>
          <w:lang w:val="en-GB"/>
        </w:rPr>
        <w:t xml:space="preserve"> fraction of PDFV1 by </w:t>
      </w:r>
      <w:r w:rsidR="0097568A">
        <w:rPr>
          <w:sz w:val="22"/>
          <w:szCs w:val="22"/>
          <w:lang w:val="en-GB"/>
        </w:rPr>
        <w:t xml:space="preserve">naming a price </w:t>
      </w:r>
      <w:r w:rsidRPr="00336C11">
        <w:rPr>
          <w:sz w:val="22"/>
          <w:szCs w:val="22"/>
          <w:lang w:val="en-GB"/>
        </w:rPr>
        <w:t>P1 such that P</w:t>
      </w:r>
      <w:r w:rsidRPr="00336C11">
        <w:rPr>
          <w:sz w:val="22"/>
          <w:szCs w:val="22"/>
          <w:vertAlign w:val="subscript"/>
          <w:lang w:val="en-GB"/>
        </w:rPr>
        <w:t>1</w:t>
      </w:r>
      <w:r w:rsidRPr="00336C11">
        <w:rPr>
          <w:sz w:val="22"/>
          <w:szCs w:val="22"/>
          <w:lang w:val="en-GB"/>
        </w:rPr>
        <w:t>&gt;</w:t>
      </w:r>
      <w:r w:rsidR="0097568A">
        <w:rPr>
          <w:sz w:val="22"/>
          <w:szCs w:val="22"/>
          <w:lang w:val="en-GB"/>
        </w:rPr>
        <w:t>(</w:t>
      </w:r>
      <w:r w:rsidR="0097568A" w:rsidRPr="00336C11">
        <w:rPr>
          <w:sz w:val="22"/>
          <w:szCs w:val="22"/>
          <w:lang w:val="en-GB"/>
        </w:rPr>
        <w:t>PDFV2</w:t>
      </w:r>
      <w:r w:rsidR="0097568A">
        <w:rPr>
          <w:sz w:val="22"/>
          <w:szCs w:val="22"/>
          <w:lang w:val="en-GB"/>
        </w:rPr>
        <w:t>-DFV)+X</w:t>
      </w:r>
      <w:r w:rsidRPr="00336C11">
        <w:rPr>
          <w:sz w:val="22"/>
          <w:szCs w:val="22"/>
          <w:lang w:val="en-GB"/>
        </w:rPr>
        <w:t>. By doing so, he would in fact induce him the non-triggering shareholder not to exercise Call Option 2 and thereby to sell his own shareholding. Provided also that P1 is such that P1&lt;PDFV/1, the triggering shareholder would eventually make a win W, with W=PDFV1/2-P</w:t>
      </w:r>
      <w:r w:rsidRPr="00336C11">
        <w:rPr>
          <w:sz w:val="22"/>
          <w:szCs w:val="22"/>
          <w:vertAlign w:val="subscript"/>
          <w:lang w:val="en-GB"/>
        </w:rPr>
        <w:t>1</w:t>
      </w:r>
      <w:r w:rsidRPr="00336C11">
        <w:rPr>
          <w:sz w:val="22"/>
          <w:szCs w:val="22"/>
          <w:lang w:val="en-GB"/>
        </w:rPr>
        <w:t>.</w:t>
      </w:r>
      <w:r w:rsidRPr="00336C11">
        <w:rPr>
          <w:rStyle w:val="FootnoteReference"/>
          <w:rFonts w:ascii="Times New Roman" w:hAnsi="Times New Roman"/>
          <w:sz w:val="22"/>
          <w:szCs w:val="22"/>
          <w:lang w:val="en-GB"/>
        </w:rPr>
        <w:footnoteReference w:id="77"/>
      </w:r>
      <w:r w:rsidRPr="00336C11">
        <w:rPr>
          <w:sz w:val="22"/>
          <w:szCs w:val="22"/>
          <w:lang w:val="en-GB"/>
        </w:rPr>
        <w:t xml:space="preserve"> </w:t>
      </w:r>
    </w:p>
    <w:p w14:paraId="00A2E61F" w14:textId="6995DC19" w:rsidR="00AD1636" w:rsidRPr="00336C11" w:rsidRDefault="00AD1636" w:rsidP="00AD1636">
      <w:pPr>
        <w:ind w:firstLine="567"/>
        <w:jc w:val="both"/>
        <w:rPr>
          <w:sz w:val="22"/>
          <w:szCs w:val="22"/>
          <w:lang w:val="en-GB"/>
        </w:rPr>
      </w:pPr>
      <w:r w:rsidRPr="00336C11">
        <w:rPr>
          <w:sz w:val="22"/>
          <w:szCs w:val="22"/>
          <w:lang w:val="en-GB"/>
        </w:rPr>
        <w:t xml:space="preserve">Under these circumstances, the buyout procedure would formally play out as per contract and even enable both shareholders to capture a given fraction of expected post-deadlock firm value, thereby rendering them both better off relative to the </w:t>
      </w:r>
      <w:r w:rsidRPr="00336C11">
        <w:rPr>
          <w:i/>
          <w:sz w:val="22"/>
          <w:szCs w:val="22"/>
          <w:lang w:val="en-GB"/>
        </w:rPr>
        <w:t>status quo</w:t>
      </w:r>
      <w:r w:rsidRPr="00336C11">
        <w:rPr>
          <w:iCs/>
          <w:sz w:val="22"/>
          <w:szCs w:val="22"/>
          <w:lang w:val="en-GB"/>
        </w:rPr>
        <w:t xml:space="preserve">. Yet, the reality </w:t>
      </w:r>
      <w:r w:rsidRPr="00336C11">
        <w:rPr>
          <w:sz w:val="22"/>
          <w:szCs w:val="22"/>
          <w:lang w:val="en-GB"/>
        </w:rPr>
        <w:t>beyond this apparently contractually compliant buyout procedure and the resulting ostensibly fair outcome is that, being PDFV2 “depressed” relative to PDFV1, Call Option 2 does exert upon the triggering shareholder’s decision as to the strike price for Call Option 1 only a limited disciplining effect</w:t>
      </w:r>
      <w:r w:rsidRPr="00336C11">
        <w:rPr>
          <w:iCs/>
          <w:sz w:val="22"/>
          <w:szCs w:val="22"/>
          <w:lang w:val="en-GB"/>
        </w:rPr>
        <w:t>.</w:t>
      </w:r>
    </w:p>
    <w:p w14:paraId="0462E3E5" w14:textId="09D0ECFD" w:rsidR="00AD1636" w:rsidRPr="00336C11" w:rsidRDefault="00AD1636" w:rsidP="00AD1636">
      <w:pPr>
        <w:spacing w:before="240" w:after="240"/>
        <w:ind w:left="567" w:right="565"/>
        <w:jc w:val="both"/>
        <w:rPr>
          <w:sz w:val="20"/>
          <w:szCs w:val="22"/>
          <w:lang w:val="en-GB"/>
        </w:rPr>
      </w:pPr>
      <w:r w:rsidRPr="00336C11">
        <w:rPr>
          <w:b/>
          <w:i/>
          <w:sz w:val="20"/>
          <w:szCs w:val="22"/>
          <w:lang w:val="en-GB"/>
        </w:rPr>
        <w:t>Example</w:t>
      </w:r>
      <w:r w:rsidRPr="00336C11">
        <w:rPr>
          <w:sz w:val="20"/>
          <w:szCs w:val="22"/>
          <w:lang w:val="en-GB"/>
        </w:rPr>
        <w:t>: Alfa is a deadlocked firm with two shareholders A and B in the vests of the triggering shareholder and the non-triggering shareholder, respectively. Alfa’s value stands at 400. Being</w:t>
      </w:r>
      <w:r w:rsidRPr="00336C11">
        <w:rPr>
          <w:i/>
          <w:iCs/>
          <w:sz w:val="20"/>
          <w:szCs w:val="22"/>
          <w:lang w:val="en-GB"/>
        </w:rPr>
        <w:t xml:space="preserve"> </w:t>
      </w:r>
      <w:r w:rsidRPr="00336C11">
        <w:rPr>
          <w:sz w:val="20"/>
          <w:szCs w:val="22"/>
          <w:lang w:val="en-GB"/>
        </w:rPr>
        <w:t>the firm’s CFO, A knows about the promising prospects of a R&amp;D project that has just begun. Based on his best available information, he estimates that PDFV</w:t>
      </w:r>
      <w:r w:rsidRPr="00336C11">
        <w:rPr>
          <w:sz w:val="20"/>
          <w:szCs w:val="22"/>
          <w:vertAlign w:val="subscript"/>
          <w:lang w:val="en-GB"/>
        </w:rPr>
        <w:t>1</w:t>
      </w:r>
      <w:r w:rsidRPr="00336C11">
        <w:rPr>
          <w:sz w:val="20"/>
          <w:szCs w:val="22"/>
          <w:lang w:val="en-GB"/>
        </w:rPr>
        <w:t xml:space="preserve"> would stand at </w:t>
      </w:r>
      <w:r w:rsidR="001336E9" w:rsidRPr="00336C11">
        <w:rPr>
          <w:sz w:val="20"/>
          <w:szCs w:val="22"/>
          <w:lang w:val="en-GB"/>
        </w:rPr>
        <w:t>5</w:t>
      </w:r>
      <w:r w:rsidR="001336E9">
        <w:rPr>
          <w:sz w:val="20"/>
          <w:szCs w:val="22"/>
          <w:lang w:val="en-GB"/>
        </w:rPr>
        <w:t>5</w:t>
      </w:r>
      <w:r w:rsidR="001336E9" w:rsidRPr="00336C11">
        <w:rPr>
          <w:sz w:val="20"/>
          <w:szCs w:val="22"/>
          <w:lang w:val="en-GB"/>
        </w:rPr>
        <w:t>0</w:t>
      </w:r>
      <w:r w:rsidRPr="00336C11">
        <w:rPr>
          <w:sz w:val="20"/>
          <w:szCs w:val="22"/>
          <w:lang w:val="en-GB"/>
        </w:rPr>
        <w:t>. Being in charge of the firm’s commercial department and, thus, alien from its operational and strategic management, B is instead persuaded that PDFV</w:t>
      </w:r>
      <w:r w:rsidRPr="00336C11">
        <w:rPr>
          <w:sz w:val="20"/>
          <w:szCs w:val="22"/>
          <w:vertAlign w:val="subscript"/>
          <w:lang w:val="en-GB"/>
        </w:rPr>
        <w:t>2</w:t>
      </w:r>
      <w:r w:rsidRPr="00336C11">
        <w:rPr>
          <w:sz w:val="20"/>
          <w:szCs w:val="22"/>
          <w:lang w:val="en-GB"/>
        </w:rPr>
        <w:t xml:space="preserve"> would stand at 450. Either shareholder would buy the other shareholder out or sell to him out at a price that reflects </w:t>
      </w:r>
      <w:r w:rsidRPr="00336C11">
        <w:rPr>
          <w:i/>
          <w:sz w:val="20"/>
          <w:szCs w:val="22"/>
          <w:lang w:val="en-GB"/>
        </w:rPr>
        <w:t>pro rata</w:t>
      </w:r>
      <w:r w:rsidRPr="00336C11">
        <w:rPr>
          <w:sz w:val="20"/>
          <w:szCs w:val="22"/>
          <w:lang w:val="en-GB"/>
        </w:rPr>
        <w:t xml:space="preserve"> his own assessment of post-deadlock firm value: that, A would buy or sell at </w:t>
      </w:r>
      <w:r w:rsidR="001336E9" w:rsidRPr="00336C11">
        <w:rPr>
          <w:sz w:val="20"/>
          <w:szCs w:val="22"/>
          <w:lang w:val="en-GB"/>
        </w:rPr>
        <w:t>2</w:t>
      </w:r>
      <w:r w:rsidR="001336E9">
        <w:rPr>
          <w:sz w:val="20"/>
          <w:szCs w:val="22"/>
          <w:lang w:val="en-GB"/>
        </w:rPr>
        <w:t>75</w:t>
      </w:r>
      <w:r w:rsidR="001336E9" w:rsidRPr="00336C11">
        <w:rPr>
          <w:sz w:val="20"/>
          <w:szCs w:val="22"/>
          <w:lang w:val="en-GB"/>
        </w:rPr>
        <w:t xml:space="preserve"> </w:t>
      </w:r>
      <w:r w:rsidRPr="00336C11">
        <w:rPr>
          <w:sz w:val="20"/>
          <w:szCs w:val="22"/>
          <w:lang w:val="en-GB"/>
        </w:rPr>
        <w:t>(2</w:t>
      </w:r>
      <w:r w:rsidR="001336E9">
        <w:rPr>
          <w:sz w:val="20"/>
          <w:szCs w:val="22"/>
          <w:lang w:val="en-GB"/>
        </w:rPr>
        <w:t>7</w:t>
      </w:r>
      <w:r w:rsidRPr="00336C11">
        <w:rPr>
          <w:sz w:val="20"/>
          <w:szCs w:val="22"/>
          <w:lang w:val="en-GB"/>
        </w:rPr>
        <w:t>5=</w:t>
      </w:r>
      <w:r w:rsidR="001336E9" w:rsidRPr="00336C11">
        <w:rPr>
          <w:sz w:val="20"/>
          <w:szCs w:val="22"/>
          <w:lang w:val="en-GB"/>
        </w:rPr>
        <w:t>5</w:t>
      </w:r>
      <w:r w:rsidR="001336E9">
        <w:rPr>
          <w:sz w:val="20"/>
          <w:szCs w:val="22"/>
          <w:lang w:val="en-GB"/>
        </w:rPr>
        <w:t>5</w:t>
      </w:r>
      <w:r w:rsidR="001336E9" w:rsidRPr="00336C11">
        <w:rPr>
          <w:sz w:val="20"/>
          <w:szCs w:val="22"/>
          <w:lang w:val="en-GB"/>
        </w:rPr>
        <w:t>0</w:t>
      </w:r>
      <w:r w:rsidRPr="00336C11">
        <w:rPr>
          <w:sz w:val="20"/>
          <w:szCs w:val="22"/>
          <w:lang w:val="en-GB"/>
        </w:rPr>
        <w:t>*.5) whilst B would buy or sell at 225 (225=450*.5) for the non-triggering shareholder. Knowing about his informational advantage and roughly estimating B’s reservation price, A would try to induce the non-triggering shareholder to sell by naming a price P</w:t>
      </w:r>
      <w:r w:rsidRPr="00336C11">
        <w:rPr>
          <w:sz w:val="20"/>
          <w:szCs w:val="22"/>
          <w:vertAlign w:val="subscript"/>
          <w:lang w:val="en-GB"/>
        </w:rPr>
        <w:t>1</w:t>
      </w:r>
      <w:r w:rsidRPr="00336C11">
        <w:rPr>
          <w:sz w:val="20"/>
          <w:szCs w:val="22"/>
          <w:lang w:val="en-GB"/>
        </w:rPr>
        <w:t xml:space="preserve"> slightly greater than 225 – say, 225.1. Allured by the prospects of increasing his expected payoff (relative not only to the </w:t>
      </w:r>
      <w:r w:rsidRPr="00336C11">
        <w:rPr>
          <w:i/>
          <w:iCs/>
          <w:sz w:val="20"/>
          <w:szCs w:val="22"/>
          <w:lang w:val="en-GB"/>
        </w:rPr>
        <w:t>status quo</w:t>
      </w:r>
      <w:r w:rsidRPr="00336C11">
        <w:rPr>
          <w:sz w:val="20"/>
          <w:szCs w:val="22"/>
          <w:lang w:val="en-GB"/>
        </w:rPr>
        <w:t xml:space="preserve">, but also and more importantly to what his shareholding would be worth after securing full control of the firm), B would rationally opt to sell. The triggering shareholder would then secure W =550/2-225.1=24.9), causing a corresponding decrease of the non-triggering shareholder’s </w:t>
      </w:r>
      <w:r w:rsidRPr="00336C11">
        <w:rPr>
          <w:sz w:val="20"/>
          <w:szCs w:val="22"/>
          <w:lang w:val="en-GB"/>
        </w:rPr>
        <w:lastRenderedPageBreak/>
        <w:t xml:space="preserve">expected payoff (L=550/2-225.1=24.9). At first look, the buyout procedure has just played out fairly – that is, as per contract rules and with both shareholders having captured a given fraction of post-deadlock firm value that rendered them both better-off relative to the </w:t>
      </w:r>
      <w:r w:rsidRPr="00336C11">
        <w:rPr>
          <w:i/>
          <w:sz w:val="20"/>
          <w:szCs w:val="22"/>
          <w:lang w:val="en-GB"/>
        </w:rPr>
        <w:t>status quo</w:t>
      </w:r>
      <w:r w:rsidRPr="00336C11">
        <w:rPr>
          <w:sz w:val="20"/>
          <w:szCs w:val="22"/>
          <w:lang w:val="en-GB"/>
        </w:rPr>
        <w:t xml:space="preserve">. Yet, as A and B have in fact received more or less, respectively, than what the contract had stipulated, the buyout terms would denote a certain degree of unfairness.  </w:t>
      </w:r>
    </w:p>
    <w:p w14:paraId="4C365164" w14:textId="77777777" w:rsidR="007940A5" w:rsidRPr="007940A5" w:rsidRDefault="007940A5" w:rsidP="007940A5">
      <w:pPr>
        <w:pStyle w:val="Heading3"/>
        <w:numPr>
          <w:ilvl w:val="2"/>
          <w:numId w:val="28"/>
        </w:numPr>
        <w:rPr>
          <w:sz w:val="22"/>
          <w:lang w:val="en-GB"/>
        </w:rPr>
      </w:pPr>
      <w:bookmarkStart w:id="64" w:name="_Toc66125118"/>
      <w:bookmarkStart w:id="65" w:name="_Toc67392682"/>
      <w:r w:rsidRPr="007940A5">
        <w:rPr>
          <w:sz w:val="22"/>
          <w:lang w:val="en-GB"/>
        </w:rPr>
        <w:t>Managerial Unevenness</w:t>
      </w:r>
      <w:bookmarkEnd w:id="64"/>
      <w:bookmarkEnd w:id="65"/>
    </w:p>
    <w:p w14:paraId="60CD773F" w14:textId="2F2056B1" w:rsidR="00AD1636" w:rsidRPr="00336C11" w:rsidRDefault="00AD1636" w:rsidP="00AD1636">
      <w:pPr>
        <w:ind w:firstLine="567"/>
        <w:jc w:val="both"/>
        <w:rPr>
          <w:sz w:val="22"/>
          <w:szCs w:val="22"/>
          <w:lang w:val="en-GB"/>
        </w:rPr>
      </w:pPr>
      <w:r w:rsidRPr="00336C11">
        <w:rPr>
          <w:sz w:val="22"/>
          <w:szCs w:val="22"/>
          <w:lang w:val="en-GB"/>
        </w:rPr>
        <w:t>The buyout procedure exhibit functional limitations also if the deadlocked shareholders have different managerial skills.</w:t>
      </w:r>
      <w:r w:rsidRPr="00336C11">
        <w:rPr>
          <w:rStyle w:val="FootnoteReference"/>
          <w:rFonts w:ascii="Times New Roman" w:hAnsi="Times New Roman"/>
          <w:sz w:val="22"/>
          <w:szCs w:val="22"/>
          <w:lang w:val="en-GB"/>
        </w:rPr>
        <w:footnoteReference w:id="78"/>
      </w:r>
    </w:p>
    <w:p w14:paraId="456493EC" w14:textId="77777777" w:rsidR="00AD1636" w:rsidRPr="00336C11" w:rsidRDefault="00AD1636" w:rsidP="00AD1636">
      <w:pPr>
        <w:ind w:firstLine="567"/>
        <w:jc w:val="both"/>
        <w:rPr>
          <w:sz w:val="22"/>
          <w:szCs w:val="22"/>
          <w:lang w:val="en-GB"/>
        </w:rPr>
      </w:pPr>
      <w:r w:rsidRPr="00336C11">
        <w:rPr>
          <w:sz w:val="22"/>
          <w:szCs w:val="22"/>
          <w:lang w:val="en-GB"/>
        </w:rPr>
        <w:t>Differences in managerial abilities between the deadlocked shareholder</w:t>
      </w:r>
      <w:r>
        <w:rPr>
          <w:sz w:val="22"/>
          <w:szCs w:val="22"/>
          <w:lang w:val="en-GB"/>
        </w:rPr>
        <w:t>s</w:t>
      </w:r>
      <w:r w:rsidRPr="00336C11">
        <w:rPr>
          <w:sz w:val="22"/>
          <w:szCs w:val="22"/>
          <w:lang w:val="en-GB"/>
        </w:rPr>
        <w:t xml:space="preserve"> can stem out from a variety of causes. Managerial unevenness can be a function of the differences in education or working experiences between the deadlocked shareholders. If one deadlocked shareholder had undertaken management studies or had already run other firms, whilst the other deadlocked shareholder studied biochemistry and has never been involved in any capacity in the management of businesses of any sort, it would not be surprising that they have different managerial skills. Moreover, once again, role allocation within the firm matters. Being in charge of the “on-the-field” strategic management of the firm requires, as well as leading to the development of, managerial skills that the shareholder responsible for the front- and back-office functions of the firm, very much the shareholder who serves as mere capital provider, does likely neither need to have nor learn by doing, instead. </w:t>
      </w:r>
    </w:p>
    <w:p w14:paraId="0A7DBF8A" w14:textId="4D290467" w:rsidR="00AD1636" w:rsidRPr="00336C11" w:rsidRDefault="00AD1636" w:rsidP="00BB3F52">
      <w:pPr>
        <w:ind w:firstLine="567"/>
        <w:jc w:val="both"/>
        <w:rPr>
          <w:sz w:val="22"/>
          <w:szCs w:val="22"/>
          <w:lang w:val="en-GB"/>
        </w:rPr>
      </w:pPr>
      <w:r w:rsidRPr="00336C11">
        <w:rPr>
          <w:sz w:val="22"/>
          <w:szCs w:val="22"/>
          <w:lang w:val="en-GB"/>
        </w:rPr>
        <w:t xml:space="preserve">Differences in managerial skills </w:t>
      </w:r>
      <w:r w:rsidR="00D6008D">
        <w:rPr>
          <w:sz w:val="22"/>
          <w:szCs w:val="22"/>
          <w:lang w:val="en-GB"/>
        </w:rPr>
        <w:t>can lead to a variety of scenarios</w:t>
      </w:r>
      <w:r w:rsidRPr="00336C11">
        <w:rPr>
          <w:sz w:val="22"/>
          <w:szCs w:val="22"/>
          <w:lang w:val="en-GB"/>
        </w:rPr>
        <w:t xml:space="preserve">. </w:t>
      </w:r>
      <w:r w:rsidR="00D6008D">
        <w:rPr>
          <w:sz w:val="22"/>
          <w:szCs w:val="22"/>
          <w:lang w:val="en-GB"/>
        </w:rPr>
        <w:t xml:space="preserve">Reconsider – and adapt here too – </w:t>
      </w:r>
      <w:r w:rsidRPr="00336C11">
        <w:rPr>
          <w:sz w:val="22"/>
          <w:szCs w:val="22"/>
          <w:lang w:val="en-GB"/>
        </w:rPr>
        <w:t xml:space="preserve">the situation </w:t>
      </w:r>
      <w:r w:rsidR="00D6008D">
        <w:rPr>
          <w:sz w:val="22"/>
          <w:szCs w:val="22"/>
          <w:lang w:val="en-GB"/>
        </w:rPr>
        <w:t>considered above. (i) T</w:t>
      </w:r>
      <w:r w:rsidRPr="00336C11">
        <w:rPr>
          <w:sz w:val="22"/>
          <w:szCs w:val="22"/>
          <w:lang w:val="en-GB"/>
        </w:rPr>
        <w:t xml:space="preserve">he triggering shareholder is managerially more skilled than the non-triggering shareholder. Besides, </w:t>
      </w:r>
      <w:r w:rsidR="00D6008D">
        <w:rPr>
          <w:sz w:val="22"/>
          <w:szCs w:val="22"/>
          <w:lang w:val="en-GB"/>
        </w:rPr>
        <w:t xml:space="preserve">(ii) </w:t>
      </w:r>
      <w:r w:rsidRPr="00336C11">
        <w:rPr>
          <w:sz w:val="22"/>
          <w:szCs w:val="22"/>
          <w:lang w:val="en-GB"/>
        </w:rPr>
        <w:t xml:space="preserve">both know as to the existence of </w:t>
      </w:r>
      <w:r>
        <w:rPr>
          <w:sz w:val="22"/>
          <w:szCs w:val="22"/>
          <w:lang w:val="en-GB"/>
        </w:rPr>
        <w:t>an</w:t>
      </w:r>
      <w:r w:rsidRPr="00336C11">
        <w:rPr>
          <w:sz w:val="22"/>
          <w:szCs w:val="22"/>
          <w:lang w:val="en-GB"/>
        </w:rPr>
        <w:t xml:space="preserve"> imbalance</w:t>
      </w:r>
      <w:r>
        <w:rPr>
          <w:sz w:val="22"/>
          <w:szCs w:val="22"/>
          <w:lang w:val="en-GB"/>
        </w:rPr>
        <w:t xml:space="preserve"> as to their respective abilities to run the deadlocked firm</w:t>
      </w:r>
      <w:r w:rsidRPr="00336C11">
        <w:rPr>
          <w:sz w:val="22"/>
          <w:szCs w:val="22"/>
          <w:lang w:val="en-GB"/>
        </w:rPr>
        <w:t xml:space="preserve">, so that either deadlocked shareholder is able to define roughly </w:t>
      </w:r>
      <w:r>
        <w:rPr>
          <w:sz w:val="22"/>
          <w:szCs w:val="22"/>
          <w:lang w:val="en-GB"/>
        </w:rPr>
        <w:t xml:space="preserve">and yet </w:t>
      </w:r>
      <w:r w:rsidRPr="00336C11">
        <w:rPr>
          <w:sz w:val="22"/>
          <w:szCs w:val="22"/>
          <w:lang w:val="en-GB"/>
        </w:rPr>
        <w:t xml:space="preserve">reliably the magnitude of the additional fraction of value that the other deadlocked shareholder would generate in a post-deadlock scenario. </w:t>
      </w:r>
    </w:p>
    <w:p w14:paraId="7E208993" w14:textId="238A76A9" w:rsidR="00AD1636" w:rsidRPr="00336C11" w:rsidRDefault="00D6008D" w:rsidP="00BB3F52">
      <w:pPr>
        <w:ind w:firstLine="567"/>
        <w:jc w:val="both"/>
        <w:rPr>
          <w:sz w:val="22"/>
          <w:szCs w:val="22"/>
          <w:lang w:val="en-GB"/>
        </w:rPr>
      </w:pPr>
      <w:r>
        <w:rPr>
          <w:sz w:val="22"/>
          <w:szCs w:val="22"/>
          <w:lang w:val="en-GB"/>
        </w:rPr>
        <w:t xml:space="preserve">In such scenario, </w:t>
      </w:r>
      <w:r w:rsidRPr="00D6008D">
        <w:rPr>
          <w:sz w:val="22"/>
          <w:szCs w:val="22"/>
          <w:lang w:val="en-GB"/>
        </w:rPr>
        <w:t xml:space="preserve"> </w:t>
      </w:r>
      <w:r w:rsidRPr="00336C11">
        <w:rPr>
          <w:sz w:val="22"/>
          <w:szCs w:val="22"/>
          <w:lang w:val="en-GB"/>
        </w:rPr>
        <w:t xml:space="preserve">the deadlocked shareholders have </w:t>
      </w:r>
      <w:r>
        <w:rPr>
          <w:sz w:val="22"/>
          <w:szCs w:val="22"/>
          <w:lang w:val="en-GB"/>
        </w:rPr>
        <w:t xml:space="preserve">would </w:t>
      </w:r>
      <w:r w:rsidR="00AD1636" w:rsidRPr="00336C11">
        <w:rPr>
          <w:sz w:val="22"/>
          <w:szCs w:val="22"/>
          <w:lang w:val="en-GB"/>
        </w:rPr>
        <w:t xml:space="preserve">com up with identical estimates as to the deadlocked firm value DFV, </w:t>
      </w:r>
      <w:r>
        <w:rPr>
          <w:sz w:val="22"/>
          <w:szCs w:val="22"/>
          <w:lang w:val="en-GB"/>
        </w:rPr>
        <w:t xml:space="preserve">but they would </w:t>
      </w:r>
      <w:r w:rsidR="00AD1636" w:rsidRPr="00336C11">
        <w:rPr>
          <w:sz w:val="22"/>
          <w:szCs w:val="22"/>
          <w:lang w:val="en-GB"/>
        </w:rPr>
        <w:t>have different estimates as to post-deadlock firm value PDFV. Here again, the triggering shareholder’s estimate as to expected post-deadlock firm value PDFV1 would exceed the corresponding non-triggering shareholder’s estimate PDFV2, such that that PDFV1&gt;PDFV2. Like under informational asymmetries, this eventually leads to the situation where PDFV</w:t>
      </w:r>
      <w:r w:rsidR="00AD1636" w:rsidRPr="00336C11">
        <w:rPr>
          <w:sz w:val="22"/>
          <w:szCs w:val="22"/>
          <w:vertAlign w:val="subscript"/>
          <w:lang w:val="en-GB"/>
        </w:rPr>
        <w:t>1</w:t>
      </w:r>
      <w:r w:rsidR="00AD1636" w:rsidRPr="00336C11">
        <w:rPr>
          <w:sz w:val="22"/>
          <w:szCs w:val="22"/>
          <w:lang w:val="en-GB"/>
        </w:rPr>
        <w:t>&gt;PDFV</w:t>
      </w:r>
      <w:r w:rsidR="00AD1636" w:rsidRPr="00336C11">
        <w:rPr>
          <w:sz w:val="22"/>
          <w:szCs w:val="22"/>
          <w:vertAlign w:val="subscript"/>
          <w:lang w:val="en-GB"/>
        </w:rPr>
        <w:t>2</w:t>
      </w:r>
      <w:r w:rsidR="00AD1636" w:rsidRPr="00336C11">
        <w:rPr>
          <w:sz w:val="22"/>
          <w:szCs w:val="22"/>
          <w:lang w:val="en-GB"/>
        </w:rPr>
        <w:t>, and, thus, HP</w:t>
      </w:r>
      <w:r w:rsidR="00AD1636" w:rsidRPr="00336C11">
        <w:rPr>
          <w:sz w:val="22"/>
          <w:szCs w:val="22"/>
          <w:vertAlign w:val="subscript"/>
          <w:lang w:val="en-GB"/>
        </w:rPr>
        <w:t>1</w:t>
      </w:r>
      <w:r w:rsidR="00AD1636" w:rsidRPr="00336C11">
        <w:rPr>
          <w:sz w:val="22"/>
          <w:szCs w:val="22"/>
          <w:lang w:val="en-GB"/>
        </w:rPr>
        <w:t>=LP</w:t>
      </w:r>
      <w:r w:rsidR="00AD1636" w:rsidRPr="00336C11">
        <w:rPr>
          <w:sz w:val="22"/>
          <w:szCs w:val="22"/>
          <w:vertAlign w:val="subscript"/>
          <w:lang w:val="en-GB"/>
        </w:rPr>
        <w:t>1</w:t>
      </w:r>
      <w:r w:rsidR="00AD1636" w:rsidRPr="00336C11">
        <w:rPr>
          <w:sz w:val="22"/>
          <w:szCs w:val="22"/>
          <w:lang w:val="en-GB"/>
        </w:rPr>
        <w:t>=PDFV</w:t>
      </w:r>
      <w:r w:rsidR="00AD1636" w:rsidRPr="00336C11">
        <w:rPr>
          <w:sz w:val="22"/>
          <w:szCs w:val="22"/>
          <w:vertAlign w:val="subscript"/>
          <w:lang w:val="en-GB"/>
        </w:rPr>
        <w:t>1</w:t>
      </w:r>
      <w:r w:rsidR="00AD1636" w:rsidRPr="00336C11">
        <w:rPr>
          <w:sz w:val="22"/>
          <w:szCs w:val="22"/>
          <w:lang w:val="en-GB"/>
        </w:rPr>
        <w:t>/2&gt; HP</w:t>
      </w:r>
      <w:r w:rsidR="00AD1636" w:rsidRPr="00336C11">
        <w:rPr>
          <w:sz w:val="22"/>
          <w:szCs w:val="22"/>
          <w:vertAlign w:val="subscript"/>
          <w:lang w:val="en-GB"/>
        </w:rPr>
        <w:t>2</w:t>
      </w:r>
      <w:r w:rsidR="00AD1636" w:rsidRPr="00336C11">
        <w:rPr>
          <w:sz w:val="22"/>
          <w:szCs w:val="22"/>
          <w:lang w:val="en-GB"/>
        </w:rPr>
        <w:t>=LP</w:t>
      </w:r>
      <w:r w:rsidR="00AD1636" w:rsidRPr="00336C11">
        <w:rPr>
          <w:sz w:val="22"/>
          <w:szCs w:val="22"/>
          <w:vertAlign w:val="subscript"/>
          <w:lang w:val="en-GB"/>
        </w:rPr>
        <w:t>2</w:t>
      </w:r>
      <w:r w:rsidR="00AD1636" w:rsidRPr="00336C11">
        <w:rPr>
          <w:sz w:val="22"/>
          <w:szCs w:val="22"/>
          <w:lang w:val="en-GB"/>
        </w:rPr>
        <w:t>=PDFV</w:t>
      </w:r>
      <w:r w:rsidR="00AD1636" w:rsidRPr="00336C11">
        <w:rPr>
          <w:sz w:val="22"/>
          <w:szCs w:val="22"/>
          <w:vertAlign w:val="subscript"/>
          <w:lang w:val="en-GB"/>
        </w:rPr>
        <w:t>2</w:t>
      </w:r>
      <w:r w:rsidR="00AD1636" w:rsidRPr="00336C11">
        <w:rPr>
          <w:sz w:val="22"/>
          <w:szCs w:val="22"/>
          <w:lang w:val="en-GB"/>
        </w:rPr>
        <w:t xml:space="preserve">/2.  </w:t>
      </w:r>
    </w:p>
    <w:p w14:paraId="414AC018" w14:textId="77777777" w:rsidR="00AD1636" w:rsidRPr="00336C11" w:rsidRDefault="00AD1636" w:rsidP="00AD1636">
      <w:pPr>
        <w:ind w:firstLine="567"/>
        <w:jc w:val="both"/>
        <w:rPr>
          <w:sz w:val="22"/>
          <w:szCs w:val="22"/>
          <w:lang w:val="en-GB"/>
        </w:rPr>
      </w:pPr>
      <w:r w:rsidRPr="00336C11">
        <w:rPr>
          <w:sz w:val="22"/>
          <w:szCs w:val="22"/>
          <w:lang w:val="en-GB"/>
        </w:rPr>
        <w:t>Not only would the triggering shareholder have incentives to buy the non-triggering shareholder out, but he would also be able to do exploit existing circumstances to his own advantage. Being here too PDFV2 “depressed” relative to PDFV1, Call Option 2 does exert upon the triggering shareholder’s decision as to the strike price for Call Option 1 only a limited disciplining effect here too</w:t>
      </w:r>
      <w:r w:rsidRPr="00336C11">
        <w:rPr>
          <w:iCs/>
          <w:sz w:val="22"/>
          <w:szCs w:val="22"/>
          <w:lang w:val="en-GB"/>
        </w:rPr>
        <w:t>.</w:t>
      </w:r>
    </w:p>
    <w:p w14:paraId="6BB81D93" w14:textId="00D28ABA" w:rsidR="00AD1636" w:rsidRPr="00336C11" w:rsidRDefault="00AD1636" w:rsidP="00AD1636">
      <w:pPr>
        <w:spacing w:before="240" w:after="240"/>
        <w:ind w:left="567" w:right="565"/>
        <w:jc w:val="both"/>
        <w:rPr>
          <w:sz w:val="20"/>
          <w:szCs w:val="22"/>
          <w:lang w:val="en-GB"/>
        </w:rPr>
      </w:pPr>
      <w:r w:rsidRPr="00336C11">
        <w:rPr>
          <w:b/>
          <w:i/>
          <w:sz w:val="20"/>
          <w:szCs w:val="22"/>
          <w:lang w:val="en-GB"/>
        </w:rPr>
        <w:t>Example</w:t>
      </w:r>
      <w:r w:rsidRPr="00336C11">
        <w:rPr>
          <w:sz w:val="20"/>
          <w:szCs w:val="22"/>
          <w:lang w:val="en-GB"/>
        </w:rPr>
        <w:t xml:space="preserve">: Alfa is a deadlocked firm with two shareholders A and B in the vests of the triggering shareholder and the non-triggering shareholder, respectively. A and B </w:t>
      </w:r>
      <w:r>
        <w:rPr>
          <w:sz w:val="20"/>
          <w:szCs w:val="22"/>
          <w:lang w:val="en-GB"/>
        </w:rPr>
        <w:t>were once wife and husband</w:t>
      </w:r>
      <w:r w:rsidRPr="00336C11">
        <w:rPr>
          <w:sz w:val="20"/>
          <w:szCs w:val="22"/>
          <w:lang w:val="en-GB"/>
        </w:rPr>
        <w:t xml:space="preserve">, but </w:t>
      </w:r>
      <w:r>
        <w:rPr>
          <w:sz w:val="20"/>
          <w:szCs w:val="22"/>
          <w:lang w:val="en-GB"/>
        </w:rPr>
        <w:t xml:space="preserve">they </w:t>
      </w:r>
      <w:r w:rsidRPr="00336C11">
        <w:rPr>
          <w:sz w:val="20"/>
          <w:szCs w:val="22"/>
          <w:lang w:val="en-GB"/>
        </w:rPr>
        <w:t>have divorced</w:t>
      </w:r>
      <w:r>
        <w:rPr>
          <w:sz w:val="20"/>
          <w:szCs w:val="22"/>
          <w:lang w:val="en-GB"/>
        </w:rPr>
        <w:t xml:space="preserve">, now finding </w:t>
      </w:r>
      <w:r w:rsidRPr="00336C11">
        <w:rPr>
          <w:sz w:val="20"/>
          <w:szCs w:val="22"/>
          <w:lang w:val="en-GB"/>
        </w:rPr>
        <w:t xml:space="preserve">themselves involved in this entrepreneurial adventure that has now turned into a feud. As of now, Alfa’s value stands at 400. Alfa is here again Alfa’s CFO with years of experience in management positions. A knows how to reorganize the firm, to save costs and increase productivity far more than B. Therefore, A has sound reasons to conclude that Alfa’s post-deadlock firm value would stand at 500. B has been for long serving as a mere capital provider, </w:t>
      </w:r>
      <w:r w:rsidRPr="00336C11">
        <w:rPr>
          <w:sz w:val="20"/>
          <w:szCs w:val="22"/>
          <w:lang w:val="en-GB"/>
        </w:rPr>
        <w:lastRenderedPageBreak/>
        <w:t>even though at a later point in time he has been in charge of the firm’s commercial department. B concludes that PDFV</w:t>
      </w:r>
      <w:r w:rsidRPr="00336C11">
        <w:rPr>
          <w:sz w:val="20"/>
          <w:szCs w:val="22"/>
          <w:vertAlign w:val="subscript"/>
          <w:lang w:val="en-GB"/>
        </w:rPr>
        <w:t>2</w:t>
      </w:r>
      <w:r w:rsidRPr="00336C11">
        <w:rPr>
          <w:sz w:val="20"/>
          <w:szCs w:val="22"/>
          <w:lang w:val="en-GB"/>
        </w:rPr>
        <w:t xml:space="preserve"> would stand at 450. Either shareholder would buy the other shareholder out or sell to him out at a price that reflects </w:t>
      </w:r>
      <w:r w:rsidRPr="00336C11">
        <w:rPr>
          <w:i/>
          <w:sz w:val="20"/>
          <w:szCs w:val="22"/>
          <w:lang w:val="en-GB"/>
        </w:rPr>
        <w:t>pro rata</w:t>
      </w:r>
      <w:r w:rsidRPr="00336C11">
        <w:rPr>
          <w:sz w:val="20"/>
          <w:szCs w:val="22"/>
          <w:lang w:val="en-GB"/>
        </w:rPr>
        <w:t xml:space="preserve"> his own assessment of post-deadlock firm value: that, A would buy or sell at PDFV1/2=500/2=250. B would buy or sell at PDFV2/2=450/2=225. If A were to offer PDFV/2</w:t>
      </w:r>
      <w:r w:rsidRPr="00336C11" w:rsidDel="0042507E">
        <w:rPr>
          <w:sz w:val="20"/>
          <w:szCs w:val="22"/>
          <w:lang w:val="en-GB"/>
        </w:rPr>
        <w:t xml:space="preserve"> </w:t>
      </w:r>
      <w:r w:rsidRPr="00336C11">
        <w:rPr>
          <w:sz w:val="20"/>
          <w:szCs w:val="22"/>
          <w:lang w:val="en-GB"/>
        </w:rPr>
        <w:t>=450/2=225, B would rationally decide not to exercise h</w:t>
      </w:r>
      <w:r>
        <w:rPr>
          <w:sz w:val="20"/>
          <w:szCs w:val="22"/>
          <w:lang w:val="en-GB"/>
        </w:rPr>
        <w:t xml:space="preserve">er </w:t>
      </w:r>
      <w:r w:rsidRPr="00336C11">
        <w:rPr>
          <w:sz w:val="20"/>
          <w:szCs w:val="22"/>
          <w:lang w:val="en-GB"/>
        </w:rPr>
        <w:t>call option and thus sell. A would then secure W=PDFV1/2-P1=2</w:t>
      </w:r>
      <w:r>
        <w:rPr>
          <w:sz w:val="20"/>
          <w:szCs w:val="22"/>
          <w:lang w:val="en-GB"/>
        </w:rPr>
        <w:t>5</w:t>
      </w:r>
      <w:r w:rsidRPr="00336C11">
        <w:rPr>
          <w:sz w:val="20"/>
          <w:szCs w:val="22"/>
          <w:lang w:val="en-GB"/>
        </w:rPr>
        <w:t>, causing a corresponding decrease of the non-triggering shareholder’s expected payoff. Underneath an ostensibly buyout procedure hides an unfair buyout</w:t>
      </w:r>
      <w:r>
        <w:rPr>
          <w:sz w:val="20"/>
          <w:szCs w:val="22"/>
          <w:lang w:val="en-GB"/>
        </w:rPr>
        <w:t xml:space="preserve"> indeed</w:t>
      </w:r>
      <w:r w:rsidRPr="00336C11">
        <w:rPr>
          <w:sz w:val="20"/>
          <w:szCs w:val="22"/>
          <w:lang w:val="en-GB"/>
        </w:rPr>
        <w:t xml:space="preserve">.   </w:t>
      </w:r>
    </w:p>
    <w:p w14:paraId="3D8D6C03" w14:textId="77777777" w:rsidR="007940A5" w:rsidRPr="007940A5" w:rsidRDefault="007940A5" w:rsidP="007940A5">
      <w:pPr>
        <w:pStyle w:val="Heading3"/>
        <w:numPr>
          <w:ilvl w:val="2"/>
          <w:numId w:val="28"/>
        </w:numPr>
        <w:rPr>
          <w:sz w:val="22"/>
          <w:lang w:val="en-GB"/>
        </w:rPr>
      </w:pPr>
      <w:bookmarkStart w:id="66" w:name="_Toc66125119"/>
      <w:bookmarkStart w:id="67" w:name="_Toc67392683"/>
      <w:r w:rsidRPr="007940A5">
        <w:rPr>
          <w:sz w:val="22"/>
          <w:lang w:val="en-GB"/>
        </w:rPr>
        <w:t>Financial Disparity</w:t>
      </w:r>
      <w:bookmarkEnd w:id="66"/>
      <w:bookmarkEnd w:id="67"/>
      <w:r w:rsidRPr="007940A5">
        <w:rPr>
          <w:sz w:val="22"/>
          <w:lang w:val="en-GB"/>
        </w:rPr>
        <w:t xml:space="preserve"> </w:t>
      </w:r>
    </w:p>
    <w:p w14:paraId="11538DD6" w14:textId="79AB594A" w:rsidR="00AD1636" w:rsidRPr="00336C11" w:rsidRDefault="00AD1636" w:rsidP="00AD1636">
      <w:pPr>
        <w:ind w:firstLine="567"/>
        <w:jc w:val="both"/>
        <w:rPr>
          <w:sz w:val="22"/>
          <w:szCs w:val="22"/>
          <w:lang w:val="en-GB"/>
        </w:rPr>
      </w:pPr>
      <w:r w:rsidRPr="00336C11">
        <w:rPr>
          <w:sz w:val="22"/>
          <w:szCs w:val="22"/>
          <w:lang w:val="en-US"/>
        </w:rPr>
        <w:t xml:space="preserve">The buyout procedure does potentially suffers from important dysfunctionalities if the deadlocked shareholders are </w:t>
      </w:r>
      <w:r w:rsidRPr="00336C11">
        <w:rPr>
          <w:sz w:val="22"/>
          <w:szCs w:val="22"/>
          <w:lang w:val="en-GB"/>
        </w:rPr>
        <w:t xml:space="preserve">differently capable of sourcing the financial resources required to cover the costs associated with buying the other shareholder out. </w:t>
      </w:r>
    </w:p>
    <w:p w14:paraId="5EF539FE" w14:textId="7EE55B7E" w:rsidR="00AD1636" w:rsidRPr="00336C11" w:rsidRDefault="00DC7E01" w:rsidP="00AD1636">
      <w:pPr>
        <w:ind w:firstLine="567"/>
        <w:jc w:val="both"/>
        <w:rPr>
          <w:sz w:val="22"/>
          <w:szCs w:val="22"/>
          <w:lang w:val="en-GB"/>
        </w:rPr>
      </w:pPr>
      <w:r>
        <w:rPr>
          <w:sz w:val="22"/>
          <w:szCs w:val="22"/>
          <w:lang w:val="en-GB"/>
        </w:rPr>
        <w:t xml:space="preserve">Take once again into account – and adapt – </w:t>
      </w:r>
      <w:r w:rsidR="00AD1636" w:rsidRPr="00336C11">
        <w:rPr>
          <w:sz w:val="22"/>
          <w:szCs w:val="22"/>
          <w:lang w:val="en-GB"/>
        </w:rPr>
        <w:t xml:space="preserve">the scenario </w:t>
      </w:r>
      <w:r>
        <w:rPr>
          <w:sz w:val="22"/>
          <w:szCs w:val="22"/>
          <w:lang w:val="en-GB"/>
        </w:rPr>
        <w:t xml:space="preserve">sketched above </w:t>
      </w:r>
      <w:r w:rsidR="00AD1636" w:rsidRPr="00336C11">
        <w:rPr>
          <w:sz w:val="22"/>
          <w:szCs w:val="22"/>
          <w:lang w:val="en-GB"/>
        </w:rPr>
        <w:t xml:space="preserve">in which the triggering shareholder is in a financially more solid position. Both the triggering shareholder and the non-triggering shareholder know the true state of the affairs. Besides, the triggering shareholder is somehow privy to the fact that the non-triggering shareholder is experiencing financial hardship, for instance because the triggering shareholder knows that the non-triggering shareholder is largely indebted, up to the point that he has been unable to pay his due debts. Intuitively, the triggering shareholder can therefore infer that the non-triggering shareholder would be hardly able to raise all the capital needed to fund the buyout. </w:t>
      </w:r>
    </w:p>
    <w:p w14:paraId="00BEABB4" w14:textId="77777777" w:rsidR="00AD1636" w:rsidRPr="00336C11" w:rsidRDefault="00AD1636" w:rsidP="00AD1636">
      <w:pPr>
        <w:ind w:firstLine="567"/>
        <w:jc w:val="both"/>
        <w:rPr>
          <w:sz w:val="22"/>
          <w:szCs w:val="22"/>
          <w:lang w:val="en-GB"/>
        </w:rPr>
      </w:pPr>
      <w:r w:rsidRPr="00336C11">
        <w:rPr>
          <w:sz w:val="22"/>
          <w:szCs w:val="22"/>
          <w:lang w:val="en-GB"/>
        </w:rPr>
        <w:t xml:space="preserve">Under these circumstances, the buyout procedure for which Russian Roulette provisions make the bed may once again fair at delivering fair outcomes. </w:t>
      </w:r>
    </w:p>
    <w:p w14:paraId="2DCDD77B" w14:textId="77777777" w:rsidR="00AD1636" w:rsidRPr="00336C11" w:rsidRDefault="00AD1636" w:rsidP="00AD1636">
      <w:pPr>
        <w:ind w:firstLine="567"/>
        <w:jc w:val="both"/>
        <w:rPr>
          <w:sz w:val="22"/>
          <w:szCs w:val="22"/>
          <w:lang w:val="en-GB"/>
        </w:rPr>
      </w:pPr>
      <w:r w:rsidRPr="00336C11">
        <w:rPr>
          <w:sz w:val="22"/>
          <w:szCs w:val="22"/>
          <w:lang w:val="en-GB"/>
        </w:rPr>
        <w:t xml:space="preserve">Like under perfect bilateral symmetry, under financial disparity the deadlocked shareholders come to an identical estimate as to both the deadlocked firm value DFV and the post-deadlock firm value PDFV. As no difference accordingly emerges in their estimates as to the value of their respective shareholdings, both the highest prices HP1 and HP2 at which either deadlocked shareholder would buy out the other deadlocked shareholder and the lowest prices at which either deadlocked shareholder would sell out to the other deadlocked shareholder are </w:t>
      </w:r>
      <w:r w:rsidRPr="00336C11">
        <w:rPr>
          <w:i/>
          <w:sz w:val="22"/>
          <w:szCs w:val="22"/>
          <w:lang w:val="en-GB"/>
        </w:rPr>
        <w:t>identical</w:t>
      </w:r>
      <w:r w:rsidRPr="00336C11">
        <w:rPr>
          <w:sz w:val="22"/>
          <w:szCs w:val="22"/>
          <w:lang w:val="en-GB"/>
        </w:rPr>
        <w:t>. That is, HP1=HP2=PDFV/2</w:t>
      </w:r>
      <w:r w:rsidRPr="00336C11" w:rsidDel="00615444">
        <w:rPr>
          <w:sz w:val="22"/>
          <w:szCs w:val="22"/>
          <w:lang w:val="en-GB"/>
        </w:rPr>
        <w:t xml:space="preserve"> </w:t>
      </w:r>
      <w:r w:rsidRPr="00336C11">
        <w:rPr>
          <w:sz w:val="22"/>
          <w:szCs w:val="22"/>
          <w:lang w:val="en-GB"/>
        </w:rPr>
        <w:t xml:space="preserve">and LP1=LP2=PDFV/2. </w:t>
      </w:r>
    </w:p>
    <w:p w14:paraId="4CD06147" w14:textId="3FF3EEA7" w:rsidR="00AD1636" w:rsidRPr="002C43CD" w:rsidRDefault="00AD1636" w:rsidP="00AD1636">
      <w:pPr>
        <w:ind w:firstLine="567"/>
        <w:jc w:val="both"/>
        <w:rPr>
          <w:sz w:val="22"/>
          <w:szCs w:val="22"/>
          <w:lang w:val="en-US"/>
        </w:rPr>
      </w:pPr>
      <w:r w:rsidRPr="00336C11">
        <w:rPr>
          <w:sz w:val="22"/>
          <w:szCs w:val="22"/>
          <w:lang w:val="en-GB"/>
        </w:rPr>
        <w:t>Given the reflexivity of Call Option 1’ and Call Option 2’ strike price, such that P</w:t>
      </w:r>
      <w:r w:rsidRPr="00336C11">
        <w:rPr>
          <w:sz w:val="22"/>
          <w:szCs w:val="22"/>
          <w:vertAlign w:val="subscript"/>
          <w:lang w:val="en-GB"/>
        </w:rPr>
        <w:t>1</w:t>
      </w:r>
      <w:r w:rsidRPr="00336C11">
        <w:rPr>
          <w:sz w:val="22"/>
          <w:szCs w:val="22"/>
          <w:lang w:val="en-GB"/>
        </w:rPr>
        <w:t>=P</w:t>
      </w:r>
      <w:r w:rsidRPr="00336C11">
        <w:rPr>
          <w:sz w:val="22"/>
          <w:szCs w:val="22"/>
          <w:vertAlign w:val="subscript"/>
          <w:lang w:val="en-GB"/>
        </w:rPr>
        <w:t>2</w:t>
      </w:r>
      <w:r w:rsidRPr="00336C11">
        <w:rPr>
          <w:sz w:val="22"/>
          <w:szCs w:val="22"/>
          <w:lang w:val="en-GB"/>
        </w:rPr>
        <w:t>, if the triggering shareholder names a price P1 such that P</w:t>
      </w:r>
      <w:r w:rsidRPr="00336C11">
        <w:rPr>
          <w:sz w:val="22"/>
          <w:szCs w:val="22"/>
          <w:vertAlign w:val="subscript"/>
          <w:lang w:val="en-GB"/>
        </w:rPr>
        <w:t>1</w:t>
      </w:r>
      <w:r w:rsidRPr="00336C11">
        <w:rPr>
          <w:sz w:val="22"/>
          <w:szCs w:val="22"/>
          <w:lang w:val="en-GB"/>
        </w:rPr>
        <w:t>&lt;PDFV/2, the non-triggering shareholder would obviously want to buy him out. That is, he would want to react by exercising Call Option at a price P2 such that P</w:t>
      </w:r>
      <w:r w:rsidRPr="00336C11">
        <w:rPr>
          <w:sz w:val="22"/>
          <w:szCs w:val="22"/>
          <w:vertAlign w:val="subscript"/>
          <w:lang w:val="en-GB"/>
        </w:rPr>
        <w:t>2</w:t>
      </w:r>
      <w:r w:rsidRPr="00336C11">
        <w:rPr>
          <w:sz w:val="22"/>
          <w:szCs w:val="22"/>
          <w:lang w:val="en-GB"/>
        </w:rPr>
        <w:t>&lt;PDFV/2, thereby securing a win W, such that W=PDFV/2-P</w:t>
      </w:r>
      <w:r w:rsidRPr="00336C11">
        <w:rPr>
          <w:sz w:val="22"/>
          <w:szCs w:val="22"/>
          <w:vertAlign w:val="subscript"/>
          <w:lang w:val="en-GB"/>
        </w:rPr>
        <w:t>2</w:t>
      </w:r>
      <w:r w:rsidRPr="00336C11">
        <w:rPr>
          <w:sz w:val="22"/>
          <w:szCs w:val="22"/>
          <w:lang w:val="en-GB"/>
        </w:rPr>
        <w:t xml:space="preserve">. </w:t>
      </w:r>
      <w:r w:rsidRPr="00336C11">
        <w:rPr>
          <w:i/>
          <w:sz w:val="22"/>
          <w:szCs w:val="22"/>
          <w:lang w:val="en-GB"/>
        </w:rPr>
        <w:t>À la charte</w:t>
      </w:r>
      <w:r w:rsidRPr="00336C11">
        <w:rPr>
          <w:sz w:val="22"/>
          <w:szCs w:val="22"/>
          <w:lang w:val="en-GB"/>
        </w:rPr>
        <w:t>, even under these circumstances, the buyout procedure would therefore have the potential to generate that sort of virtuous self-regulating dynamics that in principle lead to fair buyouts. However, because of financial disparities, things will presumably play out quite differently</w:t>
      </w:r>
      <w:r w:rsidRPr="00336C11">
        <w:rPr>
          <w:i/>
          <w:iCs/>
          <w:sz w:val="22"/>
          <w:szCs w:val="22"/>
          <w:lang w:val="en-GB"/>
        </w:rPr>
        <w:t xml:space="preserve"> in reality</w:t>
      </w:r>
      <w:r w:rsidRPr="00336C11">
        <w:rPr>
          <w:sz w:val="22"/>
          <w:szCs w:val="22"/>
          <w:lang w:val="en-GB"/>
        </w:rPr>
        <w:t xml:space="preserve">. Knowing that the non-triggering shareholder has limited financial capabilities, the triggering shareholder would then have incentives to name a price P1 relatively lower than P1=PDFV/2. </w:t>
      </w:r>
      <w:r w:rsidRPr="00336C11">
        <w:rPr>
          <w:i/>
          <w:sz w:val="22"/>
          <w:szCs w:val="22"/>
          <w:lang w:val="en-GB"/>
        </w:rPr>
        <w:t>À la charte</w:t>
      </w:r>
      <w:r w:rsidRPr="00336C11">
        <w:rPr>
          <w:sz w:val="22"/>
          <w:szCs w:val="22"/>
          <w:lang w:val="en-GB"/>
        </w:rPr>
        <w:t xml:space="preserve">, the non-triggering shareholder would then rationally want to react by buying the triggering shareholder out at a price P2=P1. However, to the extent that the price P1 and hence the obligation associated with paying the price P2 generate costs exceeding the non-triggering shareholder’s financial capabilities, the non-triggering shareholder would be </w:t>
      </w:r>
      <w:r w:rsidRPr="00336C11">
        <w:rPr>
          <w:i/>
          <w:iCs/>
          <w:sz w:val="22"/>
          <w:szCs w:val="22"/>
          <w:lang w:val="en-GB"/>
        </w:rPr>
        <w:t>de facto</w:t>
      </w:r>
      <w:r w:rsidRPr="00336C11">
        <w:rPr>
          <w:sz w:val="22"/>
          <w:szCs w:val="22"/>
          <w:lang w:val="en-GB"/>
        </w:rPr>
        <w:t xml:space="preserve"> unable to pay the price P2, regardless of low and, thus, potentially attractive may it be. Being unable to pay such price P2, the non-triggering shareholder would then have to sell out at a discount. Call Option 2 does exert upon the triggering shareholder’s decision as to </w:t>
      </w:r>
      <w:r w:rsidRPr="00336C11">
        <w:rPr>
          <w:sz w:val="22"/>
          <w:szCs w:val="22"/>
          <w:lang w:val="en-GB"/>
        </w:rPr>
        <w:lastRenderedPageBreak/>
        <w:t>the strike price for Call Option 1 a limited disciplining effect here too</w:t>
      </w:r>
      <w:r w:rsidRPr="00336C11">
        <w:rPr>
          <w:iCs/>
          <w:sz w:val="22"/>
          <w:szCs w:val="22"/>
          <w:lang w:val="en-GB"/>
        </w:rPr>
        <w:t>. In short, the liquidity constraint implies that the non-triggering shareholder may remain victim of a predatory offer that falls below the current value – i.e., below 200.</w:t>
      </w:r>
    </w:p>
    <w:p w14:paraId="7130ACBB" w14:textId="77777777" w:rsidR="00AD1636" w:rsidRPr="00336C11" w:rsidRDefault="00AD1636" w:rsidP="00AD1636">
      <w:pPr>
        <w:spacing w:before="240" w:after="240"/>
        <w:ind w:left="567" w:right="565"/>
        <w:jc w:val="both"/>
        <w:rPr>
          <w:sz w:val="20"/>
          <w:szCs w:val="22"/>
          <w:lang w:val="en-GB"/>
        </w:rPr>
      </w:pPr>
      <w:r w:rsidRPr="00336C11">
        <w:rPr>
          <w:b/>
          <w:i/>
          <w:sz w:val="20"/>
          <w:szCs w:val="22"/>
          <w:lang w:val="en-GB"/>
        </w:rPr>
        <w:t>Example</w:t>
      </w:r>
      <w:r w:rsidRPr="00336C11">
        <w:rPr>
          <w:sz w:val="20"/>
          <w:szCs w:val="22"/>
          <w:lang w:val="en-GB"/>
        </w:rPr>
        <w:t xml:space="preserve">: Alfa is a very small firm with A and B in the vests of the triggering shareholder and the non-triggering shareholder, respectively. Both A and B know that Alfa’s current value and post-deadlock firm value stand at 400 and 500, respectively. A is a private equity firm that can easily finance the relatively modest cost of the buyout. B is instead a small firm that has been long struggling paying back the bridge financing that the private equity had advanced, so that its financial hardship is known to both A and B itself. B would be practically unable for the time being to raise any capital – say the most that it can raise is just 10. Under these circumstances, either deadlocked shareholder would buy the other deadlocked shareholder out at a price 500/2=250. Knowing about B’s financial hardship, A would have incentives to offer B relatively less than 250 – say 240 or in the extreme scenario 11. Either way, B would in theory want to buy A out, but, as the most he could pay is 10, she could not do so in practice. The triggering shareholder would then increment her expected payoff by at least 10, even though in the extreme scenario he would appropriate 240. Obviously, the non-triggering shareholder’s expected payoff would decrease correspondingly. At first look, the buyout procedure has just played out as per contract. In fact, the deadlocked shareholders have in fact received more or less than what the contract had stipulated. The buyout has therefore consummated at relatively unfair terms. </w:t>
      </w:r>
    </w:p>
    <w:p w14:paraId="1DE4CE43" w14:textId="31B7B8F9" w:rsidR="00A80583" w:rsidRPr="00336C11" w:rsidRDefault="00A80583" w:rsidP="00A80583">
      <w:pPr>
        <w:pStyle w:val="Heading1"/>
        <w:numPr>
          <w:ilvl w:val="0"/>
          <w:numId w:val="28"/>
        </w:numPr>
        <w:spacing w:before="1200" w:after="240"/>
        <w:ind w:left="567" w:hanging="567"/>
        <w:rPr>
          <w:i/>
          <w:iCs/>
          <w:smallCaps w:val="0"/>
          <w:sz w:val="22"/>
          <w:szCs w:val="22"/>
          <w:lang w:val="en-GB"/>
        </w:rPr>
      </w:pPr>
      <w:bookmarkStart w:id="68" w:name="_Toc58440513"/>
      <w:bookmarkStart w:id="69" w:name="_Toc58515404"/>
      <w:bookmarkStart w:id="70" w:name="_Toc58601598"/>
      <w:bookmarkStart w:id="71" w:name="_Toc58515407"/>
      <w:bookmarkStart w:id="72" w:name="_Toc58601601"/>
      <w:bookmarkStart w:id="73" w:name="_Toc58515409"/>
      <w:bookmarkStart w:id="74" w:name="_Toc58601603"/>
      <w:bookmarkStart w:id="75" w:name="_Toc67392684"/>
      <w:bookmarkStart w:id="76" w:name="_Toc58274700"/>
      <w:bookmarkStart w:id="77" w:name="_Toc64465233"/>
      <w:bookmarkStart w:id="78" w:name="_Toc66125121"/>
      <w:bookmarkStart w:id="79" w:name="_Toc508979614"/>
      <w:bookmarkEnd w:id="63"/>
      <w:bookmarkEnd w:id="68"/>
      <w:bookmarkEnd w:id="69"/>
      <w:bookmarkEnd w:id="70"/>
      <w:bookmarkEnd w:id="71"/>
      <w:bookmarkEnd w:id="72"/>
      <w:bookmarkEnd w:id="73"/>
      <w:bookmarkEnd w:id="74"/>
      <w:r>
        <w:rPr>
          <w:i/>
          <w:iCs/>
          <w:smallCaps w:val="0"/>
          <w:sz w:val="22"/>
          <w:szCs w:val="22"/>
          <w:lang w:val="en-GB"/>
        </w:rPr>
        <w:t>A Qualitative Assessment</w:t>
      </w:r>
      <w:bookmarkEnd w:id="75"/>
    </w:p>
    <w:p w14:paraId="4742D29D" w14:textId="2A0FE0D5" w:rsidR="00030CC5" w:rsidRPr="004E7898" w:rsidRDefault="00A80583" w:rsidP="00A80583">
      <w:pPr>
        <w:ind w:firstLine="567"/>
        <w:rPr>
          <w:sz w:val="22"/>
          <w:szCs w:val="22"/>
        </w:rPr>
      </w:pPr>
      <w:r>
        <w:rPr>
          <w:sz w:val="22"/>
          <w:szCs w:val="22"/>
          <w:lang w:val="en-US"/>
        </w:rPr>
        <w:t>[</w:t>
      </w:r>
      <w:r w:rsidRPr="00494A39">
        <w:rPr>
          <w:i/>
          <w:sz w:val="22"/>
          <w:szCs w:val="22"/>
          <w:highlight w:val="yellow"/>
          <w:lang w:val="en-US"/>
        </w:rPr>
        <w:t>To be written</w:t>
      </w:r>
      <w:r>
        <w:rPr>
          <w:sz w:val="22"/>
          <w:szCs w:val="22"/>
          <w:lang w:val="en-US"/>
        </w:rPr>
        <w:t>]</w:t>
      </w:r>
    </w:p>
    <w:p w14:paraId="02A4F4C4" w14:textId="57909809" w:rsidR="00965F18" w:rsidRPr="00336C11" w:rsidRDefault="00A33830" w:rsidP="00965F18">
      <w:pPr>
        <w:pStyle w:val="Heading1"/>
        <w:numPr>
          <w:ilvl w:val="0"/>
          <w:numId w:val="28"/>
        </w:numPr>
        <w:spacing w:before="1200" w:after="240"/>
        <w:ind w:left="567" w:hanging="567"/>
        <w:rPr>
          <w:i/>
          <w:iCs/>
          <w:smallCaps w:val="0"/>
          <w:sz w:val="22"/>
          <w:szCs w:val="22"/>
          <w:lang w:val="en-GB"/>
        </w:rPr>
      </w:pPr>
      <w:bookmarkStart w:id="80" w:name="_Toc67392685"/>
      <w:r w:rsidRPr="00336C11">
        <w:rPr>
          <w:i/>
          <w:iCs/>
          <w:smallCaps w:val="0"/>
          <w:sz w:val="22"/>
          <w:szCs w:val="22"/>
          <w:lang w:val="en-GB"/>
        </w:rPr>
        <w:t xml:space="preserve">The Role of </w:t>
      </w:r>
      <w:bookmarkEnd w:id="76"/>
      <w:bookmarkEnd w:id="77"/>
      <w:r w:rsidRPr="00336C11">
        <w:rPr>
          <w:i/>
          <w:iCs/>
          <w:smallCaps w:val="0"/>
          <w:sz w:val="22"/>
          <w:szCs w:val="22"/>
          <w:lang w:val="en-GB"/>
        </w:rPr>
        <w:t>Regulation</w:t>
      </w:r>
      <w:bookmarkEnd w:id="78"/>
      <w:bookmarkEnd w:id="80"/>
    </w:p>
    <w:bookmarkEnd w:id="79"/>
    <w:p w14:paraId="562BAA5E" w14:textId="65144397" w:rsidR="00F4179D" w:rsidRPr="00C1598F" w:rsidRDefault="00494A39" w:rsidP="00C1598F">
      <w:pPr>
        <w:ind w:firstLine="567"/>
        <w:rPr>
          <w:sz w:val="22"/>
          <w:szCs w:val="22"/>
        </w:rPr>
      </w:pPr>
      <w:r>
        <w:rPr>
          <w:sz w:val="22"/>
          <w:szCs w:val="22"/>
          <w:lang w:val="en-US"/>
        </w:rPr>
        <w:t>[</w:t>
      </w:r>
      <w:r w:rsidRPr="00494A39">
        <w:rPr>
          <w:i/>
          <w:sz w:val="22"/>
          <w:szCs w:val="22"/>
          <w:highlight w:val="yellow"/>
          <w:lang w:val="en-US"/>
        </w:rPr>
        <w:t>To be written</w:t>
      </w:r>
      <w:r>
        <w:rPr>
          <w:sz w:val="22"/>
          <w:szCs w:val="22"/>
          <w:lang w:val="en-US"/>
        </w:rPr>
        <w:t>]</w:t>
      </w:r>
    </w:p>
    <w:p w14:paraId="0820ABE1" w14:textId="77777777" w:rsidR="00F4179D" w:rsidRPr="002C43CD" w:rsidRDefault="00F4179D" w:rsidP="000313B7">
      <w:pPr>
        <w:ind w:firstLine="567"/>
        <w:rPr>
          <w:sz w:val="22"/>
          <w:szCs w:val="22"/>
          <w:lang w:val="en-US"/>
        </w:rPr>
      </w:pPr>
    </w:p>
    <w:p w14:paraId="4621D1A3" w14:textId="3FB4C3E8" w:rsidR="00965F18" w:rsidRPr="00336C11" w:rsidRDefault="00A80583" w:rsidP="00965F18">
      <w:pPr>
        <w:pStyle w:val="Heading1"/>
        <w:numPr>
          <w:ilvl w:val="0"/>
          <w:numId w:val="28"/>
        </w:numPr>
        <w:spacing w:before="1200" w:after="240"/>
        <w:ind w:left="567" w:hanging="567"/>
        <w:rPr>
          <w:i/>
          <w:iCs/>
          <w:smallCaps w:val="0"/>
          <w:sz w:val="22"/>
          <w:szCs w:val="22"/>
          <w:lang w:val="en-GB"/>
        </w:rPr>
      </w:pPr>
      <w:bookmarkStart w:id="81" w:name="_Toc58274712"/>
      <w:bookmarkStart w:id="82" w:name="_Toc64465244"/>
      <w:bookmarkStart w:id="83" w:name="_Toc66125122"/>
      <w:bookmarkStart w:id="84" w:name="_Toc67392686"/>
      <w:r>
        <w:rPr>
          <w:i/>
          <w:iCs/>
          <w:smallCaps w:val="0"/>
          <w:sz w:val="22"/>
          <w:szCs w:val="22"/>
          <w:lang w:val="en-GB"/>
        </w:rPr>
        <w:t>T</w:t>
      </w:r>
      <w:r w:rsidR="00965F18" w:rsidRPr="00336C11">
        <w:rPr>
          <w:i/>
          <w:iCs/>
          <w:smallCaps w:val="0"/>
          <w:sz w:val="22"/>
          <w:szCs w:val="22"/>
          <w:lang w:val="en-GB"/>
        </w:rPr>
        <w:t>he Way Ahead</w:t>
      </w:r>
      <w:bookmarkEnd w:id="81"/>
      <w:bookmarkEnd w:id="82"/>
      <w:bookmarkEnd w:id="83"/>
      <w:bookmarkEnd w:id="84"/>
    </w:p>
    <w:p w14:paraId="00DD5173" w14:textId="03CC371B" w:rsidR="00A57B7A" w:rsidRDefault="00494A39" w:rsidP="00C1598F">
      <w:pPr>
        <w:spacing w:after="120"/>
        <w:ind w:firstLine="567"/>
        <w:rPr>
          <w:sz w:val="22"/>
          <w:szCs w:val="22"/>
          <w:lang w:val="en-GB"/>
        </w:rPr>
      </w:pPr>
      <w:r>
        <w:rPr>
          <w:sz w:val="22"/>
          <w:szCs w:val="22"/>
          <w:lang w:val="en-US"/>
        </w:rPr>
        <w:t>[</w:t>
      </w:r>
      <w:r w:rsidRPr="00494A39">
        <w:rPr>
          <w:i/>
          <w:sz w:val="22"/>
          <w:szCs w:val="22"/>
          <w:highlight w:val="yellow"/>
          <w:lang w:val="en-US"/>
        </w:rPr>
        <w:t>To be written</w:t>
      </w:r>
      <w:r>
        <w:rPr>
          <w:sz w:val="22"/>
          <w:szCs w:val="22"/>
          <w:lang w:val="en-US"/>
        </w:rPr>
        <w:t>]</w:t>
      </w:r>
    </w:p>
    <w:p w14:paraId="29B72C40" w14:textId="77777777" w:rsidR="0026158C" w:rsidRPr="00C932FD" w:rsidRDefault="0026158C" w:rsidP="00EE6B84">
      <w:pPr>
        <w:pStyle w:val="Heading1"/>
        <w:spacing w:before="1440" w:after="240"/>
        <w:rPr>
          <w:b/>
          <w:iCs/>
          <w:smallCaps w:val="0"/>
          <w:sz w:val="24"/>
          <w:szCs w:val="23"/>
          <w:lang w:val="en-US"/>
        </w:rPr>
      </w:pPr>
      <w:bookmarkStart w:id="85" w:name="_Toc56425031"/>
      <w:bookmarkStart w:id="86" w:name="_Toc56529919"/>
      <w:bookmarkStart w:id="87" w:name="_Toc56598520"/>
      <w:bookmarkStart w:id="88" w:name="_Toc56598959"/>
      <w:bookmarkStart w:id="89" w:name="_Toc56602406"/>
      <w:bookmarkStart w:id="90" w:name="_Toc56602731"/>
      <w:bookmarkStart w:id="91" w:name="_Toc56616878"/>
      <w:bookmarkStart w:id="92" w:name="_Toc56625919"/>
      <w:bookmarkStart w:id="93" w:name="_Toc56626056"/>
      <w:bookmarkStart w:id="94" w:name="_Toc56678507"/>
      <w:bookmarkStart w:id="95" w:name="_Toc56698400"/>
      <w:bookmarkStart w:id="96" w:name="_Toc56698569"/>
      <w:bookmarkStart w:id="97" w:name="_Toc57045718"/>
      <w:bookmarkStart w:id="98" w:name="_Toc57053930"/>
      <w:bookmarkStart w:id="99" w:name="_Toc57054800"/>
      <w:bookmarkStart w:id="100" w:name="_Toc57055316"/>
      <w:bookmarkStart w:id="101" w:name="_Toc57204954"/>
      <w:bookmarkStart w:id="102" w:name="_Toc57377746"/>
      <w:bookmarkStart w:id="103" w:name="_Toc57395384"/>
      <w:bookmarkStart w:id="104" w:name="_Toc57395425"/>
      <w:bookmarkStart w:id="105" w:name="_Toc57816742"/>
      <w:bookmarkStart w:id="106" w:name="_Toc57897707"/>
      <w:bookmarkStart w:id="107" w:name="_Toc57916721"/>
      <w:bookmarkStart w:id="108" w:name="_Toc57918507"/>
      <w:bookmarkStart w:id="109" w:name="_Toc58274713"/>
      <w:bookmarkStart w:id="110" w:name="_Toc58968075"/>
      <w:bookmarkStart w:id="111" w:name="_Toc65861844"/>
      <w:bookmarkStart w:id="112" w:name="_Toc66097986"/>
      <w:bookmarkStart w:id="113" w:name="_Toc66125123"/>
      <w:bookmarkStart w:id="114" w:name="_Toc66273109"/>
      <w:bookmarkStart w:id="115" w:name="_Toc67392687"/>
      <w:r w:rsidRPr="00C932FD">
        <w:rPr>
          <w:b/>
          <w:iCs/>
          <w:smallCaps w:val="0"/>
          <w:sz w:val="24"/>
          <w:szCs w:val="23"/>
          <w:lang w:val="en-US"/>
        </w:rPr>
        <w:lastRenderedPageBreak/>
        <w:t>References</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73295961" w14:textId="77777777" w:rsidR="0026158C" w:rsidRPr="00591A32" w:rsidRDefault="0026158C" w:rsidP="0026158C">
      <w:pPr>
        <w:pStyle w:val="FootnoteText"/>
        <w:spacing w:after="60"/>
        <w:ind w:left="567" w:hanging="567"/>
        <w:jc w:val="both"/>
        <w:rPr>
          <w:sz w:val="21"/>
          <w:szCs w:val="21"/>
          <w:lang w:val="en-GB"/>
        </w:rPr>
      </w:pPr>
      <w:r w:rsidRPr="00591A32">
        <w:rPr>
          <w:sz w:val="21"/>
          <w:szCs w:val="21"/>
          <w:lang w:val="en-GB"/>
        </w:rPr>
        <w:t>Aboal</w:t>
      </w:r>
      <w:r>
        <w:rPr>
          <w:sz w:val="21"/>
          <w:szCs w:val="21"/>
          <w:lang w:val="en-GB"/>
        </w:rPr>
        <w:t xml:space="preserve"> D, </w:t>
      </w:r>
      <w:r w:rsidRPr="00591A32">
        <w:rPr>
          <w:sz w:val="21"/>
          <w:szCs w:val="21"/>
          <w:lang w:val="en-GB"/>
        </w:rPr>
        <w:t>Noya</w:t>
      </w:r>
      <w:r>
        <w:rPr>
          <w:sz w:val="21"/>
          <w:szCs w:val="21"/>
          <w:lang w:val="en-GB"/>
        </w:rPr>
        <w:t xml:space="preserve"> N, and </w:t>
      </w:r>
      <w:r w:rsidRPr="00591A32">
        <w:rPr>
          <w:sz w:val="21"/>
          <w:szCs w:val="21"/>
          <w:lang w:val="en-GB"/>
        </w:rPr>
        <w:t>Rius</w:t>
      </w:r>
      <w:r>
        <w:rPr>
          <w:sz w:val="21"/>
          <w:szCs w:val="21"/>
          <w:lang w:val="en-GB"/>
        </w:rPr>
        <w:t xml:space="preserve"> A (2014) </w:t>
      </w:r>
      <w:r w:rsidRPr="00591A32">
        <w:rPr>
          <w:sz w:val="21"/>
          <w:szCs w:val="21"/>
          <w:lang w:val="en-GB"/>
        </w:rPr>
        <w:t>Contract Enforcement and Investment: A Systematic Review of the Evidence</w:t>
      </w:r>
      <w:r>
        <w:rPr>
          <w:sz w:val="21"/>
          <w:szCs w:val="21"/>
          <w:lang w:val="en-GB"/>
        </w:rPr>
        <w:t xml:space="preserve">. </w:t>
      </w:r>
      <w:r w:rsidRPr="00591A32">
        <w:rPr>
          <w:sz w:val="21"/>
          <w:szCs w:val="21"/>
          <w:lang w:val="en-GB"/>
        </w:rPr>
        <w:t>World Development</w:t>
      </w:r>
      <w:r>
        <w:rPr>
          <w:sz w:val="21"/>
          <w:szCs w:val="21"/>
          <w:lang w:val="en-GB"/>
        </w:rPr>
        <w:t xml:space="preserve"> </w:t>
      </w:r>
      <w:r w:rsidRPr="00591A32">
        <w:rPr>
          <w:sz w:val="21"/>
          <w:szCs w:val="21"/>
          <w:lang w:val="en-GB"/>
        </w:rPr>
        <w:t>64</w:t>
      </w:r>
      <w:r>
        <w:rPr>
          <w:sz w:val="21"/>
          <w:szCs w:val="21"/>
          <w:lang w:val="en-GB"/>
        </w:rPr>
        <w:t xml:space="preserve">: </w:t>
      </w:r>
      <w:r w:rsidRPr="00591A32">
        <w:rPr>
          <w:sz w:val="21"/>
          <w:szCs w:val="21"/>
          <w:lang w:val="en-GB"/>
        </w:rPr>
        <w:t>322-338</w:t>
      </w:r>
    </w:p>
    <w:p w14:paraId="1456DF0B"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 xml:space="preserve">Maynard TH, Warren DM (2014) Business planning: financing the start-up business and venture capital financing, 2nd edn. Wolters Kluwer, New York </w:t>
      </w:r>
    </w:p>
    <w:p w14:paraId="63B765C3"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Witney S (2021) Corporate Governance and Responsible Investment in Private Equity. Cambridge: Cambrige University Press</w:t>
      </w:r>
    </w:p>
    <w:p w14:paraId="0DC7CF99"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 xml:space="preserve">Abramowicz M (1999) The law-and-markets movement. Am. Univ. L.R. 49: 327 </w:t>
      </w:r>
    </w:p>
    <w:p w14:paraId="4573C752"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Agstner P (2020) Shareholder conflicts in close corporations between theory and practice: Evidence from Italian private limited liability companies. European Business Organization Law Review 21: 505</w:t>
      </w:r>
    </w:p>
    <w:p w14:paraId="05B26B1C" w14:textId="77777777" w:rsidR="0026158C" w:rsidRPr="00C932FD" w:rsidRDefault="0026158C" w:rsidP="0026158C">
      <w:pPr>
        <w:spacing w:after="60"/>
        <w:ind w:left="567" w:hanging="567"/>
        <w:jc w:val="both"/>
        <w:rPr>
          <w:sz w:val="21"/>
          <w:szCs w:val="21"/>
          <w:lang w:val="en-GB"/>
        </w:rPr>
      </w:pPr>
      <w:r w:rsidRPr="00C932FD">
        <w:rPr>
          <w:sz w:val="21"/>
          <w:szCs w:val="21"/>
          <w:lang w:val="en-GB"/>
        </w:rPr>
        <w:t xml:space="preserve">Aires I (2005) Optional Law: The structure of legal entitlements. Chicago : Chicago University Press </w:t>
      </w:r>
    </w:p>
    <w:p w14:paraId="28C3CE3D" w14:textId="77777777" w:rsidR="0026158C" w:rsidRPr="00C932FD" w:rsidRDefault="0026158C" w:rsidP="0026158C">
      <w:pPr>
        <w:spacing w:after="60"/>
        <w:ind w:left="567" w:hanging="567"/>
        <w:jc w:val="both"/>
        <w:rPr>
          <w:sz w:val="21"/>
          <w:szCs w:val="21"/>
          <w:lang w:val="en-GB"/>
        </w:rPr>
      </w:pPr>
      <w:r w:rsidRPr="00C932FD">
        <w:rPr>
          <w:sz w:val="21"/>
          <w:szCs w:val="21"/>
          <w:lang w:val="en-GB"/>
        </w:rPr>
        <w:t xml:space="preserve">Andrews E (2016) What was the sword of Damocles. History Channel, 17 Feb 2016. Available at &lt;https://www.history.com/news/what-was-the-sword-of-damocles#:~:text=For%20Cicero%2C%20the%20tale%20of,the%20phrase%20%E2%80%9Csword%20of%20Damocles&gt; </w:t>
      </w:r>
    </w:p>
    <w:p w14:paraId="7ACBD56B" w14:textId="77777777" w:rsidR="0026158C" w:rsidRPr="00C932FD" w:rsidRDefault="0026158C" w:rsidP="0026158C">
      <w:pPr>
        <w:pStyle w:val="FootnoteText"/>
        <w:spacing w:after="60"/>
        <w:jc w:val="both"/>
        <w:rPr>
          <w:sz w:val="21"/>
          <w:szCs w:val="21"/>
          <w:lang w:val="en-GB"/>
        </w:rPr>
      </w:pPr>
      <w:r w:rsidRPr="00C932FD">
        <w:rPr>
          <w:sz w:val="21"/>
          <w:szCs w:val="21"/>
          <w:lang w:val="en-GB"/>
        </w:rPr>
        <w:t>Armour J, Whincop MJ (2000), An Economic Analysis of Shared Property in Partnership and Close Corporations Law. J Corp L 26: 983</w:t>
      </w:r>
    </w:p>
    <w:p w14:paraId="78C77336"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Atanasov V, Black B, Ciccottello CS (2011) Law and tunneling. J Corp L 37:1</w:t>
      </w:r>
    </w:p>
    <w:p w14:paraId="169BDCE0"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Atanasov V, Black B, Ciccottello CS (2014) Unbundling and measuring tunneling. Univ Ill Law Rev 2014: 1697</w:t>
      </w:r>
    </w:p>
    <w:p w14:paraId="74753365"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 xml:space="preserve">Ayres I, Talley E (1995) Solomonic bargaining: Dividing a legal entitlement to facilitate Coasean trade. Yale L J 104: 1027 </w:t>
      </w:r>
    </w:p>
    <w:p w14:paraId="4F41A878"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 xml:space="preserve">Bachmann G, Eidenmüller H, Engert A, Fleischer H, Schön W (2013) Regulating the closed corporation. Berlin : De Gruyter </w:t>
      </w:r>
    </w:p>
    <w:p w14:paraId="24E8EA53"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Bagchi A (2014) The political economy of regulating contract. 62 Am J Comp L, 62: 687</w:t>
      </w:r>
    </w:p>
    <w:p w14:paraId="167226C1"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 xml:space="preserve">Baldwin R, Cave M, Lodge M (2011) Understanding regulation. Theory, strategy, and practice. Oxford : OUP </w:t>
      </w:r>
    </w:p>
    <w:p w14:paraId="34458139"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 xml:space="preserve">Becker G (1973) A Theory of marriage: Part I. J Pol Econ 81: 813 </w:t>
      </w:r>
    </w:p>
    <w:p w14:paraId="697B29A4"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 xml:space="preserve">Becker G (1974) A Theory of marriage: Part II. J Pol Econ 82: 11 </w:t>
      </w:r>
    </w:p>
    <w:p w14:paraId="34F972CA" w14:textId="77777777" w:rsidR="0026158C" w:rsidRPr="00C932FD" w:rsidRDefault="0026158C" w:rsidP="0026158C">
      <w:pPr>
        <w:spacing w:after="60"/>
        <w:ind w:left="567" w:hanging="567"/>
        <w:jc w:val="both"/>
        <w:rPr>
          <w:sz w:val="21"/>
          <w:szCs w:val="21"/>
          <w:lang w:val="en-US"/>
        </w:rPr>
      </w:pPr>
      <w:r w:rsidRPr="00C932FD">
        <w:rPr>
          <w:sz w:val="21"/>
          <w:szCs w:val="21"/>
          <w:lang w:val="en-US"/>
        </w:rPr>
        <w:t>Bengtsson O (2012) Financial contracting in US venture capital financing. In: Cumming DJ (Ed) The Oxford handbook of venture capital. Oxford University Press, Oxford, pp 478-508</w:t>
      </w:r>
    </w:p>
    <w:p w14:paraId="60B56CAC"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Black J (1997) Rules and regulators. Oxford : OUP</w:t>
      </w:r>
    </w:p>
    <w:p w14:paraId="2B16F2A7" w14:textId="77777777" w:rsidR="0026158C" w:rsidRPr="00C932FD" w:rsidRDefault="0026158C" w:rsidP="0026158C">
      <w:pPr>
        <w:spacing w:after="60"/>
        <w:ind w:left="567" w:hanging="567"/>
        <w:jc w:val="both"/>
        <w:rPr>
          <w:sz w:val="21"/>
          <w:szCs w:val="21"/>
          <w:lang w:val="en-GB"/>
        </w:rPr>
      </w:pPr>
      <w:r w:rsidRPr="00C932FD">
        <w:rPr>
          <w:sz w:val="21"/>
          <w:szCs w:val="21"/>
          <w:lang w:val="en-GB"/>
        </w:rPr>
        <w:t xml:space="preserve">Blair M (2019) Corporate law as a solution to team production problems. In: Clarke T, O'Brien J, O'Kelley C (Eds) The Oxford handbook of the corporation, Oxford : OUP, pp </w:t>
      </w:r>
      <w:r w:rsidRPr="00C932FD">
        <w:rPr>
          <w:sz w:val="21"/>
          <w:szCs w:val="21"/>
          <w:highlight w:val="yellow"/>
          <w:lang w:val="en-GB"/>
        </w:rPr>
        <w:t>____</w:t>
      </w:r>
    </w:p>
    <w:p w14:paraId="2A67C749" w14:textId="77777777" w:rsidR="0026158C" w:rsidRPr="00C932FD" w:rsidRDefault="0026158C" w:rsidP="0026158C">
      <w:pPr>
        <w:spacing w:after="60"/>
        <w:ind w:left="567" w:hanging="567"/>
        <w:jc w:val="both"/>
        <w:rPr>
          <w:sz w:val="21"/>
          <w:szCs w:val="21"/>
        </w:rPr>
      </w:pPr>
      <w:r w:rsidRPr="00C932FD">
        <w:rPr>
          <w:sz w:val="21"/>
          <w:szCs w:val="21"/>
        </w:rPr>
        <w:t>Bock S (2020) Gesellschaftsvertragliche Gestaltungen zur Auflösung von Pattsituationen in der Gesellschafterversammlung. Zugleich eine kritische Betrachtung sogenannter Shoot Out-Klauseln. Berlin : Duncker &amp; Humblot</w:t>
      </w:r>
    </w:p>
    <w:p w14:paraId="6A551475" w14:textId="77777777" w:rsidR="0026158C" w:rsidRPr="00C932FD" w:rsidRDefault="0026158C" w:rsidP="0026158C">
      <w:pPr>
        <w:spacing w:after="60"/>
        <w:jc w:val="both"/>
        <w:rPr>
          <w:sz w:val="21"/>
          <w:szCs w:val="21"/>
          <w:lang w:val="en-GB"/>
        </w:rPr>
      </w:pPr>
      <w:r w:rsidRPr="00C932FD">
        <w:rPr>
          <w:sz w:val="21"/>
          <w:szCs w:val="21"/>
          <w:lang w:val="en-GB"/>
        </w:rPr>
        <w:t>Boukouras A (2011) Contract law and development. Available at &lt;https://ssrn.com/abstract=2297450&gt;</w:t>
      </w:r>
    </w:p>
    <w:p w14:paraId="5CFEBDA5" w14:textId="77777777" w:rsidR="0026158C" w:rsidRPr="00C932FD" w:rsidRDefault="0026158C" w:rsidP="0026158C">
      <w:pPr>
        <w:pStyle w:val="FootnoteText"/>
        <w:spacing w:after="60"/>
        <w:ind w:left="567" w:hanging="567"/>
        <w:jc w:val="both"/>
        <w:rPr>
          <w:sz w:val="21"/>
          <w:szCs w:val="21"/>
          <w:lang w:val="en-GB"/>
        </w:rPr>
      </w:pPr>
      <w:r w:rsidRPr="00C932FD">
        <w:rPr>
          <w:sz w:val="21"/>
          <w:szCs w:val="21"/>
          <w:highlight w:val="yellow"/>
          <w:lang w:val="en-US"/>
        </w:rPr>
        <w:t>Bowers S (2007) The Guardian, 16 November 2007, p 29</w:t>
      </w:r>
    </w:p>
    <w:p w14:paraId="33BE476C" w14:textId="77777777" w:rsidR="0026158C" w:rsidRPr="00C932FD" w:rsidRDefault="0026158C" w:rsidP="0026158C">
      <w:pPr>
        <w:spacing w:after="60"/>
        <w:jc w:val="both"/>
        <w:rPr>
          <w:sz w:val="21"/>
          <w:szCs w:val="21"/>
          <w:lang w:val="it-IT"/>
        </w:rPr>
      </w:pPr>
      <w:r w:rsidRPr="00C932FD">
        <w:rPr>
          <w:sz w:val="21"/>
          <w:szCs w:val="21"/>
        </w:rPr>
        <w:t xml:space="preserve">Brockmann A (2017) Shoot-Out-Klauseln: Radikale Trennungsverfahren im Gesellschaftsrecht. </w:t>
      </w:r>
      <w:r w:rsidRPr="00C932FD">
        <w:rPr>
          <w:sz w:val="21"/>
          <w:szCs w:val="21"/>
          <w:lang w:val="it-IT"/>
        </w:rPr>
        <w:t xml:space="preserve">Frankfurt am Main : Peter Lang </w:t>
      </w:r>
    </w:p>
    <w:p w14:paraId="25C6C3F7" w14:textId="77777777" w:rsidR="0026158C" w:rsidRPr="00C932FD" w:rsidRDefault="0026158C" w:rsidP="0026158C">
      <w:pPr>
        <w:pStyle w:val="FootnoteText"/>
        <w:tabs>
          <w:tab w:val="left" w:pos="142"/>
        </w:tabs>
        <w:spacing w:after="60"/>
        <w:ind w:left="567" w:hanging="567"/>
        <w:jc w:val="both"/>
        <w:rPr>
          <w:sz w:val="21"/>
          <w:szCs w:val="21"/>
          <w:lang w:val="it-IT"/>
        </w:rPr>
      </w:pPr>
      <w:r w:rsidRPr="00C932FD">
        <w:rPr>
          <w:sz w:val="21"/>
          <w:szCs w:val="21"/>
          <w:highlight w:val="yellow"/>
          <w:lang w:val="it-IT"/>
        </w:rPr>
        <w:t>Brooks et al (2010)</w:t>
      </w:r>
    </w:p>
    <w:p w14:paraId="5558AA61" w14:textId="77777777" w:rsidR="0026158C" w:rsidRPr="00C932FD" w:rsidRDefault="0026158C" w:rsidP="0026158C">
      <w:pPr>
        <w:pStyle w:val="FootnoteText"/>
        <w:tabs>
          <w:tab w:val="left" w:pos="142"/>
        </w:tabs>
        <w:spacing w:after="60"/>
        <w:ind w:left="567" w:hanging="567"/>
        <w:jc w:val="both"/>
        <w:rPr>
          <w:sz w:val="21"/>
          <w:szCs w:val="21"/>
          <w:lang w:val="it-IT"/>
        </w:rPr>
      </w:pPr>
      <w:r w:rsidRPr="00C932FD">
        <w:rPr>
          <w:sz w:val="21"/>
          <w:szCs w:val="21"/>
          <w:lang w:val="it-IT"/>
        </w:rPr>
        <w:t xml:space="preserve">Busi CA (2015) Tecniche di soluzione delle situazioni di stallo decisionale nelle compagini societarie. Società e Contratti, Bilancio e Revisione 2015: 8 </w:t>
      </w:r>
    </w:p>
    <w:p w14:paraId="458D284D" w14:textId="77777777" w:rsidR="0026158C" w:rsidRPr="00C932FD" w:rsidRDefault="0026158C" w:rsidP="0026158C">
      <w:pPr>
        <w:spacing w:after="60"/>
        <w:ind w:left="567" w:hanging="567"/>
        <w:jc w:val="both"/>
        <w:rPr>
          <w:sz w:val="21"/>
          <w:szCs w:val="21"/>
          <w:lang w:val="en-GB"/>
        </w:rPr>
      </w:pPr>
      <w:r w:rsidRPr="00C932FD">
        <w:rPr>
          <w:sz w:val="21"/>
          <w:szCs w:val="21"/>
          <w:lang w:val="it-IT"/>
        </w:rPr>
        <w:lastRenderedPageBreak/>
        <w:t xml:space="preserve">Clarks RC (1986), Corporate law. </w:t>
      </w:r>
      <w:r w:rsidRPr="00C932FD">
        <w:rPr>
          <w:sz w:val="21"/>
          <w:szCs w:val="21"/>
          <w:lang w:val="en-GB"/>
        </w:rPr>
        <w:t>Boston-Toronto : Little Brown, 1986</w:t>
      </w:r>
    </w:p>
    <w:p w14:paraId="534FDC60" w14:textId="77777777" w:rsidR="0026158C" w:rsidRPr="00C932FD" w:rsidRDefault="0026158C" w:rsidP="0026158C">
      <w:pPr>
        <w:pStyle w:val="FootnoteText"/>
        <w:tabs>
          <w:tab w:val="left" w:pos="142"/>
        </w:tabs>
        <w:spacing w:after="60"/>
        <w:ind w:left="567" w:hanging="567"/>
        <w:jc w:val="both"/>
        <w:rPr>
          <w:sz w:val="21"/>
          <w:szCs w:val="21"/>
          <w:lang w:val="en-US"/>
        </w:rPr>
      </w:pPr>
      <w:r w:rsidRPr="00C932FD">
        <w:rPr>
          <w:sz w:val="21"/>
          <w:szCs w:val="21"/>
          <w:lang w:val="en-US"/>
        </w:rPr>
        <w:t>Coase RH (1969) The problem of social cost. J Law &amp; Econ 3:1</w:t>
      </w:r>
    </w:p>
    <w:p w14:paraId="39C636E0" w14:textId="77777777" w:rsidR="0026158C" w:rsidRPr="00C932FD" w:rsidRDefault="0026158C" w:rsidP="0026158C">
      <w:pPr>
        <w:pStyle w:val="FootnoteText"/>
        <w:tabs>
          <w:tab w:val="left" w:pos="142"/>
        </w:tabs>
        <w:spacing w:after="60"/>
        <w:ind w:left="567" w:hanging="567"/>
        <w:jc w:val="both"/>
        <w:rPr>
          <w:sz w:val="21"/>
          <w:szCs w:val="21"/>
          <w:lang w:val="en-GB"/>
        </w:rPr>
      </w:pPr>
      <w:r w:rsidRPr="00C932FD">
        <w:rPr>
          <w:sz w:val="21"/>
          <w:szCs w:val="21"/>
          <w:lang w:val="en-GB"/>
        </w:rPr>
        <w:t>Cooter R (2014) The Falcon’s gyre: Legal foundations of economic innovation and growth. Berkley Law Books – Book 1. Available at &lt;http://scholarship.law.berkeley.edu/books/1&gt;</w:t>
      </w:r>
    </w:p>
    <w:p w14:paraId="04340DB7" w14:textId="77777777" w:rsidR="0026158C" w:rsidRPr="00C932FD" w:rsidRDefault="0026158C" w:rsidP="0026158C">
      <w:pPr>
        <w:pStyle w:val="FootnoteText"/>
        <w:tabs>
          <w:tab w:val="left" w:pos="142"/>
        </w:tabs>
        <w:spacing w:after="60"/>
        <w:ind w:left="567" w:hanging="567"/>
        <w:jc w:val="both"/>
        <w:rPr>
          <w:sz w:val="21"/>
          <w:szCs w:val="21"/>
          <w:lang w:val="en-GB"/>
        </w:rPr>
      </w:pPr>
      <w:r w:rsidRPr="00C932FD">
        <w:rPr>
          <w:sz w:val="21"/>
          <w:szCs w:val="21"/>
          <w:lang w:val="en-GB"/>
        </w:rPr>
        <w:t>Cooter R, Schäfer H-B (2012) Solomon’s knot: How law can end the poverty of nations. Princeton (NJ) : Princeton University Press</w:t>
      </w:r>
    </w:p>
    <w:p w14:paraId="5BFECCE4"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 xml:space="preserve">Cooter R, Ulen U (2012) Law &amp; economics. New York : Pearson, 6th ed. </w:t>
      </w:r>
    </w:p>
    <w:p w14:paraId="5907357F" w14:textId="77777777" w:rsidR="0026158C" w:rsidRPr="00C932FD" w:rsidRDefault="0026158C" w:rsidP="0026158C">
      <w:pPr>
        <w:pStyle w:val="FootnoteText"/>
        <w:spacing w:after="60"/>
        <w:jc w:val="both"/>
        <w:rPr>
          <w:sz w:val="21"/>
          <w:szCs w:val="21"/>
          <w:lang w:val="it-IT"/>
        </w:rPr>
      </w:pPr>
      <w:r w:rsidRPr="00C932FD">
        <w:rPr>
          <w:sz w:val="21"/>
          <w:szCs w:val="21"/>
          <w:lang w:val="en-US"/>
        </w:rPr>
        <w:t xml:space="preserve">Cortenraad WHFM (2000) The corporate paradox. Economic realities of the corporate form of organization. </w:t>
      </w:r>
      <w:r w:rsidRPr="00C932FD">
        <w:rPr>
          <w:sz w:val="21"/>
          <w:szCs w:val="21"/>
          <w:lang w:val="it-IT"/>
        </w:rPr>
        <w:t>Amsterdam : Springer</w:t>
      </w:r>
    </w:p>
    <w:p w14:paraId="049C2DD8" w14:textId="77777777" w:rsidR="0026158C" w:rsidRPr="00F81EF4" w:rsidRDefault="0026158C" w:rsidP="0026158C">
      <w:pPr>
        <w:pStyle w:val="FootnoteText"/>
        <w:tabs>
          <w:tab w:val="left" w:pos="142"/>
        </w:tabs>
        <w:spacing w:after="60"/>
        <w:ind w:left="567" w:hanging="567"/>
        <w:jc w:val="both"/>
        <w:rPr>
          <w:sz w:val="21"/>
          <w:szCs w:val="21"/>
          <w:lang w:val="it-IT"/>
        </w:rPr>
      </w:pPr>
      <w:r w:rsidRPr="00C932FD">
        <w:rPr>
          <w:sz w:val="21"/>
          <w:szCs w:val="21"/>
          <w:lang w:val="it-IT"/>
        </w:rPr>
        <w:t xml:space="preserve">Daino G (1988) Tecniche di soluzione del “deadlock”: la disciplina contrattuale nell’accordo tra i soci nelle joint ventures paritarie. </w:t>
      </w:r>
      <w:r w:rsidRPr="00F81EF4">
        <w:rPr>
          <w:sz w:val="21"/>
          <w:szCs w:val="21"/>
          <w:lang w:val="it-IT"/>
        </w:rPr>
        <w:t xml:space="preserve">Dir comm inter ___: 161 </w:t>
      </w:r>
    </w:p>
    <w:p w14:paraId="76976FBD" w14:textId="77777777" w:rsidR="0026158C" w:rsidRPr="00F81EF4" w:rsidRDefault="0026158C" w:rsidP="0026158C">
      <w:pPr>
        <w:pStyle w:val="FootnoteText"/>
        <w:spacing w:after="60"/>
        <w:ind w:left="567" w:hanging="567"/>
        <w:jc w:val="both"/>
        <w:rPr>
          <w:sz w:val="21"/>
          <w:szCs w:val="21"/>
          <w:lang w:val="it-IT"/>
        </w:rPr>
      </w:pPr>
      <w:r w:rsidRPr="00F81EF4">
        <w:rPr>
          <w:sz w:val="21"/>
          <w:szCs w:val="21"/>
          <w:lang w:val="it-IT"/>
        </w:rPr>
        <w:t>Dari-Mattiaci G, Gelderblom O, Jonker J, Perotti EC (2017) The emergence of the corporate form. J L Econ &amp; Org 33: 193</w:t>
      </w:r>
    </w:p>
    <w:p w14:paraId="2AA68F50"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De Bona LG (2018)</w:t>
      </w:r>
      <w:r w:rsidRPr="00C932FD">
        <w:rPr>
          <w:sz w:val="21"/>
          <w:szCs w:val="21"/>
          <w:lang w:val="en-US"/>
        </w:rPr>
        <w:t xml:space="preserve"> </w:t>
      </w:r>
      <w:r w:rsidRPr="00C932FD">
        <w:rPr>
          <w:sz w:val="21"/>
          <w:szCs w:val="21"/>
          <w:lang w:val="en-GB"/>
        </w:rPr>
        <w:t>If you climb into bed with your business partner, the court might climb in too: The Delaware Supreme Court’s cautionary tale of acrimonious engagement and corporate deadlock in Shawe v. Elting. Villanova LR 63 : 501</w:t>
      </w:r>
    </w:p>
    <w:p w14:paraId="52D4A808" w14:textId="77777777" w:rsidR="0026158C" w:rsidRPr="00C932FD" w:rsidRDefault="0026158C" w:rsidP="0026158C">
      <w:pPr>
        <w:pStyle w:val="FootnoteText"/>
        <w:spacing w:after="60"/>
        <w:ind w:left="567" w:hanging="567"/>
        <w:jc w:val="both"/>
        <w:rPr>
          <w:sz w:val="21"/>
          <w:szCs w:val="21"/>
          <w:lang w:val="it-IT"/>
        </w:rPr>
      </w:pPr>
      <w:r w:rsidRPr="00C932FD">
        <w:rPr>
          <w:sz w:val="21"/>
          <w:szCs w:val="21"/>
          <w:lang w:val="en-GB"/>
        </w:rPr>
        <w:t xml:space="preserve">De Luca N (2009) Unequal treatment and shareholders’ welfare growth: “Fairness” v. “precise equality”. </w:t>
      </w:r>
      <w:r w:rsidRPr="00C932FD">
        <w:rPr>
          <w:sz w:val="21"/>
          <w:szCs w:val="21"/>
          <w:lang w:val="it-IT"/>
        </w:rPr>
        <w:t>Del J Corp L 34: 853</w:t>
      </w:r>
    </w:p>
    <w:p w14:paraId="433F2F0C" w14:textId="77777777" w:rsidR="0026158C" w:rsidRPr="00C932FD" w:rsidRDefault="0026158C" w:rsidP="0026158C">
      <w:pPr>
        <w:pStyle w:val="FootnoteText"/>
        <w:tabs>
          <w:tab w:val="left" w:pos="142"/>
        </w:tabs>
        <w:spacing w:after="60"/>
        <w:ind w:left="567" w:hanging="567"/>
        <w:jc w:val="both"/>
        <w:rPr>
          <w:sz w:val="21"/>
          <w:szCs w:val="21"/>
          <w:lang w:val="it-IT"/>
        </w:rPr>
      </w:pPr>
      <w:r w:rsidRPr="00C932FD">
        <w:rPr>
          <w:sz w:val="21"/>
          <w:szCs w:val="21"/>
          <w:lang w:val="it-IT"/>
        </w:rPr>
        <w:t xml:space="preserve">Divizia P (2018) Patto parasociale di russian roulette. Le società </w:t>
      </w:r>
      <w:r w:rsidRPr="00C932FD">
        <w:rPr>
          <w:sz w:val="21"/>
          <w:szCs w:val="21"/>
          <w:highlight w:val="yellow"/>
          <w:lang w:val="it-IT"/>
        </w:rPr>
        <w:t>___</w:t>
      </w:r>
      <w:r w:rsidRPr="00C932FD">
        <w:rPr>
          <w:sz w:val="21"/>
          <w:szCs w:val="21"/>
          <w:lang w:val="it-IT"/>
        </w:rPr>
        <w:t>: 434</w:t>
      </w:r>
    </w:p>
    <w:p w14:paraId="69FCA7AA" w14:textId="77777777" w:rsidR="0026158C" w:rsidRPr="00C932FD" w:rsidRDefault="0026158C" w:rsidP="0026158C">
      <w:pPr>
        <w:pStyle w:val="FootnoteText"/>
        <w:tabs>
          <w:tab w:val="left" w:pos="142"/>
        </w:tabs>
        <w:spacing w:after="60"/>
        <w:ind w:left="567" w:hanging="567"/>
        <w:jc w:val="both"/>
        <w:rPr>
          <w:sz w:val="21"/>
          <w:szCs w:val="21"/>
          <w:lang w:val="en-GB"/>
        </w:rPr>
      </w:pPr>
      <w:r w:rsidRPr="00C932FD">
        <w:rPr>
          <w:sz w:val="21"/>
          <w:szCs w:val="21"/>
          <w:lang w:val="it-IT"/>
        </w:rPr>
        <w:t xml:space="preserve">Draetta U (1992) Un esempio di “russian roulette clause” per la soluzione di “deadlocks”. </w:t>
      </w:r>
      <w:r w:rsidRPr="00C932FD">
        <w:rPr>
          <w:sz w:val="21"/>
          <w:szCs w:val="21"/>
          <w:lang w:val="en-GB"/>
        </w:rPr>
        <w:t xml:space="preserve">Dir comm inter  </w:t>
      </w:r>
      <w:r w:rsidRPr="00C932FD">
        <w:rPr>
          <w:sz w:val="21"/>
          <w:szCs w:val="21"/>
          <w:highlight w:val="yellow"/>
          <w:lang w:val="en-GB"/>
        </w:rPr>
        <w:t>___</w:t>
      </w:r>
      <w:r w:rsidRPr="00C932FD">
        <w:rPr>
          <w:sz w:val="21"/>
          <w:szCs w:val="21"/>
          <w:lang w:val="en-GB"/>
        </w:rPr>
        <w:t xml:space="preserve">: 515 </w:t>
      </w:r>
    </w:p>
    <w:p w14:paraId="1CB90977"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 xml:space="preserve">Durkin BC (2018) Manufactured deadlocks? The problematic “bad faith defense” to forced-sales of Delaware corporations under Section 226 of the Delaware General Corporation Law. Boston Coll L R 59: 725 </w:t>
      </w:r>
    </w:p>
    <w:p w14:paraId="01ACD281"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Easterbrook FH, Fischel DR (1991) The economic structure of corporate law. Cambridge (MA) :  Harvard University Press</w:t>
      </w:r>
    </w:p>
    <w:p w14:paraId="5E146226"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Epstein R (1995) Simple rules for a complex world. Cambridge (MA): Harvard University Press</w:t>
      </w:r>
    </w:p>
    <w:p w14:paraId="4F0629FE"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 xml:space="preserve">Farrell J, Scotchmer S (1988) Partnerships. Quar J Econ 103: 279 </w:t>
      </w:r>
    </w:p>
    <w:p w14:paraId="3A85CC1E"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 xml:space="preserve">Fennell LA (2005) Options as revelation mechanisms. Harv L R 118: 1399 </w:t>
      </w:r>
    </w:p>
    <w:p w14:paraId="39F46261"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 xml:space="preserve">Field HD </w:t>
      </w:r>
      <w:r w:rsidRPr="00C932FD">
        <w:rPr>
          <w:i/>
          <w:iCs/>
          <w:sz w:val="21"/>
          <w:szCs w:val="21"/>
          <w:lang w:val="en-GB"/>
        </w:rPr>
        <w:t>Jr</w:t>
      </w:r>
      <w:r w:rsidRPr="00C932FD">
        <w:rPr>
          <w:sz w:val="21"/>
          <w:szCs w:val="21"/>
          <w:lang w:val="en-GB"/>
        </w:rPr>
        <w:t>. (1974) Resolving shareholder disputes and breaking deadlocks in the close corporation. Minn L R 58:985</w:t>
      </w:r>
    </w:p>
    <w:p w14:paraId="6F6F0804" w14:textId="77777777" w:rsidR="0026158C" w:rsidRPr="00C932FD" w:rsidRDefault="0026158C" w:rsidP="0026158C">
      <w:pPr>
        <w:spacing w:after="60"/>
        <w:ind w:left="567" w:hanging="567"/>
        <w:jc w:val="both"/>
        <w:rPr>
          <w:sz w:val="21"/>
          <w:szCs w:val="21"/>
          <w:lang w:val="en-GB"/>
        </w:rPr>
      </w:pPr>
      <w:r w:rsidRPr="00C932FD">
        <w:rPr>
          <w:sz w:val="21"/>
          <w:szCs w:val="21"/>
          <w:lang w:val="en-GB"/>
        </w:rPr>
        <w:t>Fleischer H, Schneider S (2012) Shoot-out clauses in partnerships and close corporations. Eur Com Fin L R 9: 35</w:t>
      </w:r>
    </w:p>
    <w:p w14:paraId="1193670F" w14:textId="77777777" w:rsidR="0026158C" w:rsidRPr="00C932FD" w:rsidRDefault="0026158C" w:rsidP="0026158C">
      <w:pPr>
        <w:spacing w:after="60"/>
        <w:ind w:left="567" w:hanging="567"/>
        <w:jc w:val="both"/>
        <w:rPr>
          <w:sz w:val="21"/>
          <w:szCs w:val="21"/>
          <w:lang w:val="en-GB"/>
        </w:rPr>
      </w:pPr>
      <w:r w:rsidRPr="00C932FD">
        <w:rPr>
          <w:sz w:val="21"/>
          <w:szCs w:val="21"/>
          <w:lang w:val="en-GB"/>
        </w:rPr>
        <w:t xml:space="preserve">Fried Ganor (2006) Agency costs of venture capitalists control in startups. NY Univ L R 81:967 </w:t>
      </w:r>
    </w:p>
    <w:p w14:paraId="5EE5699D"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US"/>
        </w:rPr>
        <w:t>Fudenberg D, Tirole J (1986) A “signal jamming” theory of predation. The RAND Journal of Economics 17: 366-376</w:t>
      </w:r>
    </w:p>
    <w:p w14:paraId="22118A99" w14:textId="77777777" w:rsidR="0026158C" w:rsidRPr="00C932FD" w:rsidRDefault="0026158C" w:rsidP="0026158C">
      <w:pPr>
        <w:spacing w:after="60"/>
        <w:ind w:left="567" w:hanging="567"/>
        <w:jc w:val="both"/>
        <w:rPr>
          <w:sz w:val="21"/>
          <w:szCs w:val="21"/>
          <w:lang w:val="en-GB"/>
        </w:rPr>
      </w:pPr>
      <w:r w:rsidRPr="00C932FD">
        <w:rPr>
          <w:sz w:val="21"/>
          <w:szCs w:val="21"/>
          <w:lang w:val="en-GB"/>
        </w:rPr>
        <w:t>Garoupa N (2018) Law, economics, and courts. Oxford Research Encyclopedia of Economics. Oxford : Oxford University Press</w:t>
      </w:r>
    </w:p>
    <w:p w14:paraId="15FECBE7"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 xml:space="preserve">Gilson RJ &amp; Gordon JN (2003) </w:t>
      </w:r>
      <w:r w:rsidRPr="00C932FD">
        <w:rPr>
          <w:iCs/>
          <w:sz w:val="21"/>
          <w:szCs w:val="21"/>
          <w:lang w:val="en-GB"/>
        </w:rPr>
        <w:t>Controlling Controlling Shareholders</w:t>
      </w:r>
      <w:r w:rsidRPr="00C932FD">
        <w:rPr>
          <w:sz w:val="21"/>
          <w:szCs w:val="21"/>
          <w:lang w:val="en-GB"/>
        </w:rPr>
        <w:t xml:space="preserve">. U Pa L Rev  152 : 785 </w:t>
      </w:r>
    </w:p>
    <w:p w14:paraId="6AE118DC"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 xml:space="preserve">Goetz CJ, Scott RE (1983) The mitigation principle. Toward a general theory of contractual obligations (1983). Vanderbilt L R 69: 967 </w:t>
      </w:r>
    </w:p>
    <w:p w14:paraId="588395C0" w14:textId="77777777" w:rsidR="0026158C" w:rsidRPr="00C932FD" w:rsidRDefault="0026158C" w:rsidP="0026158C">
      <w:pPr>
        <w:spacing w:after="60"/>
        <w:ind w:left="567" w:hanging="567"/>
        <w:jc w:val="both"/>
        <w:rPr>
          <w:sz w:val="21"/>
          <w:szCs w:val="21"/>
          <w:lang w:val="en-GB"/>
        </w:rPr>
      </w:pPr>
      <w:r w:rsidRPr="00C932FD">
        <w:rPr>
          <w:sz w:val="21"/>
          <w:szCs w:val="21"/>
          <w:lang w:val="en-GB"/>
        </w:rPr>
        <w:t>Goshen Z, Hannes S (2019) The death of corporate law. NYU LR 94: 263</w:t>
      </w:r>
    </w:p>
    <w:p w14:paraId="4B14BAE5" w14:textId="77777777" w:rsidR="0026158C" w:rsidRPr="00C932FD" w:rsidRDefault="0026158C" w:rsidP="0026158C">
      <w:pPr>
        <w:spacing w:after="60"/>
        <w:ind w:left="567" w:hanging="567"/>
        <w:jc w:val="both"/>
        <w:rPr>
          <w:sz w:val="21"/>
          <w:szCs w:val="21"/>
          <w:lang w:val="en-GB"/>
        </w:rPr>
      </w:pPr>
      <w:r w:rsidRPr="00C932FD">
        <w:rPr>
          <w:sz w:val="21"/>
          <w:szCs w:val="21"/>
          <w:lang w:val="en-GB"/>
        </w:rPr>
        <w:t xml:space="preserve">Goshen Z, Wiener Z (2003) The value of the freezeout option (Columbia Law School - The Center for Law and Economic Studies Working Paper No. 260). Available at Social Sciences Research Network all’indirizzo &lt; https://papers.ssrn.com/sol3/papers.cfm?abstract_id=21751&gt; </w:t>
      </w:r>
    </w:p>
    <w:p w14:paraId="7552BC5A"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Grossman S, Hart O (1986) The costs and benefits of ownership: A theory of lateral and vertical Integration. J Pol Econ 94: 691</w:t>
      </w:r>
    </w:p>
    <w:p w14:paraId="0210CEBF"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lastRenderedPageBreak/>
        <w:t>Grundmann S, Cafaggi F, Vettori G (Eds) (2013), The organizational contract: From exchange to long-Term network cooperation in European contract law. New York : Ashgate Publishing</w:t>
      </w:r>
    </w:p>
    <w:p w14:paraId="59D82736" w14:textId="77777777" w:rsidR="0026158C" w:rsidRPr="00C932FD" w:rsidRDefault="0026158C" w:rsidP="0026158C">
      <w:pPr>
        <w:spacing w:after="60"/>
        <w:ind w:left="567" w:hanging="567"/>
        <w:jc w:val="both"/>
        <w:rPr>
          <w:sz w:val="21"/>
          <w:szCs w:val="21"/>
          <w:lang w:val="en-GB"/>
        </w:rPr>
      </w:pPr>
      <w:r w:rsidRPr="00C932FD">
        <w:rPr>
          <w:sz w:val="21"/>
          <w:szCs w:val="21"/>
          <w:lang w:val="en-GB"/>
        </w:rPr>
        <w:t>Hewitt I (2001) Joint ventures, London : Sweet &amp; Maxwell, 2a ed.</w:t>
      </w:r>
    </w:p>
    <w:p w14:paraId="54653ACE" w14:textId="77777777" w:rsidR="0026158C" w:rsidRPr="00C932FD" w:rsidRDefault="0026158C" w:rsidP="0026158C">
      <w:pPr>
        <w:pStyle w:val="FootnoteText"/>
        <w:tabs>
          <w:tab w:val="left" w:pos="142"/>
        </w:tabs>
        <w:spacing w:after="60"/>
        <w:ind w:left="567" w:hanging="567"/>
        <w:jc w:val="both"/>
        <w:rPr>
          <w:sz w:val="21"/>
          <w:szCs w:val="21"/>
          <w:lang w:val="en-GB"/>
        </w:rPr>
      </w:pPr>
      <w:r w:rsidRPr="00C932FD">
        <w:rPr>
          <w:sz w:val="21"/>
          <w:szCs w:val="21"/>
          <w:lang w:val="en-GB"/>
        </w:rPr>
        <w:t>Hoberman JM (2001) Practical considerations for drafting and utilizing deadlock solutions for non-corporate business entities. Colum Bus L R</w:t>
      </w:r>
    </w:p>
    <w:p w14:paraId="4A8DC8CD" w14:textId="77777777" w:rsidR="0026158C" w:rsidRPr="00C932FD" w:rsidRDefault="0026158C" w:rsidP="0026158C">
      <w:pPr>
        <w:spacing w:after="60"/>
        <w:jc w:val="both"/>
        <w:rPr>
          <w:sz w:val="21"/>
          <w:szCs w:val="21"/>
          <w:lang w:val="en-GB"/>
        </w:rPr>
      </w:pPr>
      <w:r w:rsidRPr="00C932FD">
        <w:rPr>
          <w:sz w:val="21"/>
          <w:szCs w:val="21"/>
          <w:lang w:val="en-GB"/>
        </w:rPr>
        <w:t>Hornung C (2018) Leaver-, Vesting- und Shoot-Out-Klauseln. Berlin : Peter Lang Verlag</w:t>
      </w:r>
    </w:p>
    <w:p w14:paraId="3C5D43C1" w14:textId="77777777" w:rsidR="0026158C" w:rsidRPr="00C932FD" w:rsidRDefault="0026158C" w:rsidP="0026158C">
      <w:pPr>
        <w:spacing w:after="60"/>
        <w:ind w:left="567" w:hanging="567"/>
        <w:jc w:val="both"/>
        <w:rPr>
          <w:sz w:val="21"/>
          <w:szCs w:val="21"/>
          <w:lang w:val="en-GB"/>
        </w:rPr>
      </w:pPr>
      <w:r w:rsidRPr="00C932FD">
        <w:rPr>
          <w:sz w:val="21"/>
          <w:szCs w:val="21"/>
          <w:lang w:val="en-GB"/>
        </w:rPr>
        <w:t>Howarth D (2013) Law as engineering: Thinking about what lawyers Do. Cheltenham : Elgar Publishing</w:t>
      </w:r>
    </w:p>
    <w:p w14:paraId="60FD1070"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Huang PH (2000) Teaching Corporate Law from an Option Perspective. Ga L Rev 34: 571</w:t>
      </w:r>
    </w:p>
    <w:p w14:paraId="676C83E8"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Huang PH, Knoll MS (2000) Corporate Finance, Corporate Law and Finance Theory.</w:t>
      </w:r>
      <w:r w:rsidRPr="00C932FD">
        <w:rPr>
          <w:sz w:val="21"/>
          <w:szCs w:val="21"/>
          <w:lang w:val="en-US"/>
        </w:rPr>
        <w:t xml:space="preserve"> </w:t>
      </w:r>
      <w:r w:rsidRPr="00C932FD">
        <w:rPr>
          <w:sz w:val="21"/>
          <w:szCs w:val="21"/>
          <w:lang w:val="en-GB"/>
        </w:rPr>
        <w:t>South Cal Law Rev 74:175</w:t>
      </w:r>
    </w:p>
    <w:p w14:paraId="490D58B6" w14:textId="77777777" w:rsidR="0026158C" w:rsidRPr="00C932FD" w:rsidRDefault="0026158C" w:rsidP="0026158C">
      <w:pPr>
        <w:pStyle w:val="FootnoteText"/>
        <w:spacing w:after="60"/>
        <w:jc w:val="both"/>
        <w:rPr>
          <w:sz w:val="21"/>
          <w:szCs w:val="21"/>
          <w:lang w:val="en-GB"/>
        </w:rPr>
      </w:pPr>
      <w:r w:rsidRPr="00C932FD">
        <w:rPr>
          <w:sz w:val="21"/>
          <w:szCs w:val="21"/>
          <w:lang w:val="en-GB"/>
        </w:rPr>
        <w:t>J Fin &amp; Quant Anal  46: 943-966</w:t>
      </w:r>
    </w:p>
    <w:p w14:paraId="20111A82" w14:textId="77777777" w:rsidR="0026158C" w:rsidRPr="00C932FD" w:rsidRDefault="0026158C" w:rsidP="0026158C">
      <w:pPr>
        <w:spacing w:after="60"/>
        <w:ind w:left="567" w:hanging="567"/>
        <w:jc w:val="both"/>
        <w:rPr>
          <w:sz w:val="21"/>
          <w:szCs w:val="21"/>
          <w:lang w:val="en-GB"/>
        </w:rPr>
      </w:pPr>
      <w:r w:rsidRPr="00C932FD">
        <w:rPr>
          <w:sz w:val="21"/>
          <w:szCs w:val="21"/>
          <w:lang w:val="en-GB"/>
        </w:rPr>
        <w:t>Jackson HE, Kaplow L, Shavell SM, Viscussi WK, Cope D (2010) Analytical methods for lawyers. New York : Foundation Press, 2nd ed.</w:t>
      </w:r>
    </w:p>
    <w:p w14:paraId="4B329F47" w14:textId="77777777" w:rsidR="0026158C" w:rsidRPr="00C932FD" w:rsidRDefault="0026158C" w:rsidP="0026158C">
      <w:pPr>
        <w:pStyle w:val="FootnoteText"/>
        <w:tabs>
          <w:tab w:val="left" w:pos="142"/>
        </w:tabs>
        <w:spacing w:after="60"/>
        <w:ind w:left="567" w:hanging="567"/>
        <w:jc w:val="both"/>
        <w:rPr>
          <w:sz w:val="21"/>
          <w:szCs w:val="21"/>
          <w:lang w:val="en-GB"/>
        </w:rPr>
      </w:pPr>
      <w:r w:rsidRPr="00C932FD">
        <w:rPr>
          <w:sz w:val="21"/>
          <w:szCs w:val="21"/>
          <w:lang w:val="en-GB"/>
        </w:rPr>
        <w:t>Jones D (2008) Carlsberg: Heineken agree $15.3 billion S&amp;N deal. Reuters, 25 January 2008. Available at &lt;https://www.reuters.com/article/us-scottishnewcastle/carlsberg-heineken-agree-15-3-billion-sn-deal-idUSL2338824920080125&gt;</w:t>
      </w:r>
    </w:p>
    <w:p w14:paraId="70154D84" w14:textId="77777777" w:rsidR="0026158C" w:rsidRPr="00C932FD" w:rsidRDefault="0026158C" w:rsidP="0026158C">
      <w:pPr>
        <w:pStyle w:val="FootnoteText"/>
        <w:tabs>
          <w:tab w:val="left" w:pos="142"/>
        </w:tabs>
        <w:spacing w:after="60"/>
        <w:ind w:left="567" w:hanging="567"/>
        <w:jc w:val="both"/>
        <w:rPr>
          <w:sz w:val="21"/>
          <w:szCs w:val="21"/>
          <w:lang w:val="en-GB"/>
        </w:rPr>
      </w:pPr>
      <w:r w:rsidRPr="00C932FD">
        <w:rPr>
          <w:sz w:val="21"/>
          <w:szCs w:val="21"/>
          <w:lang w:val="en-GB"/>
        </w:rPr>
        <w:t>Kaplow L (1992) Rules versus standards: An economic analysis. Duke L J 4: 557</w:t>
      </w:r>
    </w:p>
    <w:p w14:paraId="7C4BC247"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Klausner M (2015) Governance mechanism in long-term contracts. In: Grundmann S, Möslein F, and Riesenhuber K (Eds), Contract governance: Dimensions in law and interdisciplinary research. Oxford : Oxford University Press, pp ___</w:t>
      </w:r>
    </w:p>
    <w:p w14:paraId="01690B6B"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Klein B, Crawford E, Alchian A (1978) Vertical integration, appropriable rents, and the competitive contracting process. J Law &amp; Econ 21: 297</w:t>
      </w:r>
    </w:p>
    <w:p w14:paraId="35E7B175"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Klein WA, Coffee JC Jr, Partnoy F (2010) Business organization and finance. Legal and economic principles. New York : Foundation Press, 11a ed.</w:t>
      </w:r>
    </w:p>
    <w:p w14:paraId="148FA814"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Koop C, Lodge M (2017) What is regulation? An interdisciplinary analysis. Regulation &amp; Governance 11 : 95</w:t>
      </w:r>
    </w:p>
    <w:p w14:paraId="662FCCA6" w14:textId="77777777" w:rsidR="0026158C" w:rsidRPr="00C932FD" w:rsidRDefault="0026158C" w:rsidP="0026158C">
      <w:pPr>
        <w:spacing w:after="60"/>
        <w:ind w:left="567" w:hanging="567"/>
        <w:jc w:val="both"/>
        <w:rPr>
          <w:sz w:val="21"/>
          <w:szCs w:val="21"/>
          <w:lang w:val="en-GB"/>
        </w:rPr>
      </w:pPr>
      <w:r w:rsidRPr="00C932FD">
        <w:rPr>
          <w:sz w:val="21"/>
          <w:szCs w:val="21"/>
          <w:lang w:val="en-GB"/>
        </w:rPr>
        <w:t>Landeo CM, Spier</w:t>
      </w:r>
      <w:r w:rsidRPr="00C932FD">
        <w:rPr>
          <w:smallCaps/>
          <w:sz w:val="21"/>
          <w:szCs w:val="21"/>
          <w:lang w:val="en-GB"/>
        </w:rPr>
        <w:t xml:space="preserve"> KE (2014)</w:t>
      </w:r>
      <w:r w:rsidRPr="00C932FD">
        <w:rPr>
          <w:sz w:val="21"/>
          <w:szCs w:val="21"/>
          <w:lang w:val="en-GB"/>
        </w:rPr>
        <w:t xml:space="preserve"> Shotgun and deadlocks. </w:t>
      </w:r>
      <w:r w:rsidRPr="00C932FD">
        <w:rPr>
          <w:iCs/>
          <w:sz w:val="21"/>
          <w:szCs w:val="21"/>
          <w:lang w:val="en-GB"/>
        </w:rPr>
        <w:t xml:space="preserve">Yale J Reg </w:t>
      </w:r>
      <w:r w:rsidRPr="00C932FD">
        <w:rPr>
          <w:sz w:val="21"/>
          <w:szCs w:val="21"/>
          <w:lang w:val="en-GB"/>
        </w:rPr>
        <w:t>31: 143</w:t>
      </w:r>
    </w:p>
    <w:p w14:paraId="52CADDC9"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Lerner J, Schoar A (2015) Does legal enforcement affect financial transactions? The contractual channel in private equity. Quar J Econ 120: 223</w:t>
      </w:r>
    </w:p>
    <w:p w14:paraId="4BAB4DEC"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Mahoney PG (2000), Trust and opportunism in close corporations. In: Morck R (Ed), Concentrated corporate ownership, Chicago: University of Chicago Press, pp 177-196</w:t>
      </w:r>
    </w:p>
    <w:p w14:paraId="05D931C7" w14:textId="77777777" w:rsidR="0026158C" w:rsidRPr="00C932FD" w:rsidRDefault="0026158C" w:rsidP="0026158C">
      <w:pPr>
        <w:pStyle w:val="FootnoteText"/>
        <w:spacing w:after="60"/>
        <w:jc w:val="both"/>
        <w:rPr>
          <w:sz w:val="21"/>
          <w:szCs w:val="21"/>
          <w:lang w:val="en-GB"/>
        </w:rPr>
      </w:pPr>
      <w:r w:rsidRPr="00C932FD">
        <w:rPr>
          <w:sz w:val="21"/>
          <w:szCs w:val="21"/>
          <w:lang w:val="en-GB"/>
        </w:rPr>
        <w:t xml:space="preserve">Margolin BA, Kursh S (2005) The economics of Delaware fair value. Delaware Journal of Corporate Law 30:413-436 </w:t>
      </w:r>
    </w:p>
    <w:p w14:paraId="78574700" w14:textId="77777777" w:rsidR="0026158C" w:rsidRPr="00C932FD" w:rsidRDefault="0026158C" w:rsidP="0026158C">
      <w:pPr>
        <w:pStyle w:val="FootnoteText"/>
        <w:spacing w:after="60"/>
        <w:ind w:left="567" w:hanging="567"/>
        <w:jc w:val="both"/>
        <w:rPr>
          <w:sz w:val="21"/>
          <w:szCs w:val="21"/>
        </w:rPr>
      </w:pPr>
      <w:r w:rsidRPr="00C932FD">
        <w:rPr>
          <w:sz w:val="21"/>
          <w:szCs w:val="21"/>
          <w:lang w:val="en-GB"/>
        </w:rPr>
        <w:t xml:space="preserve">Mariti P, Smiley RH (1996) Co-operative agreements and the Organization of industry. In: Buckley PJ, Michie J (Eds) Firms, organizations and contracts. </w:t>
      </w:r>
      <w:r w:rsidRPr="00C932FD">
        <w:rPr>
          <w:sz w:val="21"/>
          <w:szCs w:val="21"/>
        </w:rPr>
        <w:t>Oxford : Oxford University Press, pp 276-</w:t>
      </w:r>
      <w:r w:rsidRPr="00C932FD">
        <w:rPr>
          <w:sz w:val="21"/>
          <w:szCs w:val="21"/>
          <w:highlight w:val="yellow"/>
        </w:rPr>
        <w:t>___</w:t>
      </w:r>
    </w:p>
    <w:p w14:paraId="474BD58B" w14:textId="77777777" w:rsidR="0026158C" w:rsidRPr="00C932FD" w:rsidRDefault="0026158C" w:rsidP="0026158C">
      <w:pPr>
        <w:spacing w:after="60"/>
        <w:jc w:val="both"/>
        <w:rPr>
          <w:sz w:val="21"/>
          <w:szCs w:val="21"/>
        </w:rPr>
      </w:pPr>
      <w:r w:rsidRPr="00C932FD">
        <w:rPr>
          <w:sz w:val="21"/>
          <w:szCs w:val="21"/>
        </w:rPr>
        <w:t>Mayer T (2019) Shoot-Out-Klauseln im deutschen GmbH-Recht. Göttingen : Cuviller Verlag</w:t>
      </w:r>
    </w:p>
    <w:p w14:paraId="434C09CA" w14:textId="77777777" w:rsidR="0026158C" w:rsidRPr="00C932FD" w:rsidRDefault="0026158C" w:rsidP="0026158C">
      <w:pPr>
        <w:pStyle w:val="FootnoteText"/>
        <w:tabs>
          <w:tab w:val="left" w:pos="142"/>
        </w:tabs>
        <w:spacing w:after="60"/>
        <w:ind w:left="567" w:hanging="567"/>
        <w:jc w:val="both"/>
        <w:rPr>
          <w:sz w:val="21"/>
          <w:szCs w:val="21"/>
          <w:lang w:val="en-GB"/>
        </w:rPr>
      </w:pPr>
      <w:r w:rsidRPr="00C932FD">
        <w:rPr>
          <w:sz w:val="21"/>
          <w:szCs w:val="21"/>
          <w:lang w:val="it-IT"/>
        </w:rPr>
        <w:t xml:space="preserve">Mazzoletti E (2018) Valida la “russian roulette Clause”. </w:t>
      </w:r>
      <w:r w:rsidRPr="00C932FD">
        <w:rPr>
          <w:sz w:val="21"/>
          <w:szCs w:val="21"/>
          <w:lang w:val="en-GB"/>
        </w:rPr>
        <w:t xml:space="preserve">Notariato </w:t>
      </w:r>
      <w:r w:rsidRPr="00C932FD">
        <w:rPr>
          <w:sz w:val="21"/>
          <w:szCs w:val="21"/>
          <w:highlight w:val="yellow"/>
          <w:lang w:val="en-GB"/>
        </w:rPr>
        <w:t>___</w:t>
      </w:r>
      <w:r w:rsidRPr="00C932FD">
        <w:rPr>
          <w:sz w:val="21"/>
          <w:szCs w:val="21"/>
          <w:lang w:val="en-GB"/>
        </w:rPr>
        <w:t>: 301</w:t>
      </w:r>
    </w:p>
    <w:p w14:paraId="5720717C" w14:textId="77777777" w:rsidR="0026158C" w:rsidRPr="00C932FD" w:rsidRDefault="0026158C" w:rsidP="0026158C">
      <w:pPr>
        <w:pStyle w:val="FootnoteText"/>
        <w:spacing w:after="60"/>
        <w:jc w:val="both"/>
        <w:rPr>
          <w:sz w:val="21"/>
          <w:szCs w:val="21"/>
          <w:lang w:val="en-GB"/>
        </w:rPr>
      </w:pPr>
      <w:r w:rsidRPr="00C932FD">
        <w:rPr>
          <w:sz w:val="21"/>
          <w:szCs w:val="21"/>
          <w:lang w:val="en-GB"/>
        </w:rPr>
        <w:t xml:space="preserve">Mock S (2020) Shareholders’ Agreements in Family Firms and Closed Corporations. Available at &lt;https://papers.ssrn.com/sol3/papers.cfm?abstract_id=3693709&gt; </w:t>
      </w:r>
    </w:p>
    <w:p w14:paraId="12AE797E" w14:textId="77777777" w:rsidR="0026158C" w:rsidRPr="00C932FD" w:rsidRDefault="0026158C" w:rsidP="0026158C">
      <w:pPr>
        <w:pStyle w:val="FootnoteText"/>
        <w:spacing w:after="60"/>
        <w:jc w:val="both"/>
        <w:rPr>
          <w:sz w:val="21"/>
          <w:szCs w:val="21"/>
          <w:lang w:val="en-GB"/>
        </w:rPr>
      </w:pPr>
      <w:r w:rsidRPr="00C932FD">
        <w:rPr>
          <w:sz w:val="21"/>
          <w:szCs w:val="21"/>
          <w:lang w:val="en-GB"/>
        </w:rPr>
        <w:t>Moll K (2004) Shareholder Oppression and Fair Value: Of Discounts, Dates, and Dastardly Deeds in the Close Corporation. Duke L J 54:293</w:t>
      </w:r>
    </w:p>
    <w:p w14:paraId="4A778946" w14:textId="77777777" w:rsidR="0026158C" w:rsidRPr="00C932FD" w:rsidRDefault="0026158C" w:rsidP="0026158C">
      <w:pPr>
        <w:spacing w:after="60"/>
        <w:ind w:left="567" w:hanging="567"/>
        <w:jc w:val="both"/>
        <w:rPr>
          <w:sz w:val="21"/>
          <w:szCs w:val="21"/>
          <w:lang w:val="en-GB"/>
        </w:rPr>
      </w:pPr>
      <w:r w:rsidRPr="00C932FD">
        <w:rPr>
          <w:sz w:val="21"/>
          <w:szCs w:val="21"/>
          <w:lang w:val="en-GB"/>
        </w:rPr>
        <w:t xml:space="preserve">Morgan </w:t>
      </w:r>
      <w:r w:rsidRPr="00C932FD">
        <w:rPr>
          <w:smallCaps/>
          <w:sz w:val="21"/>
          <w:szCs w:val="21"/>
          <w:lang w:val="en-GB"/>
        </w:rPr>
        <w:t>J (2004)</w:t>
      </w:r>
      <w:r w:rsidRPr="00C932FD">
        <w:rPr>
          <w:sz w:val="21"/>
          <w:szCs w:val="21"/>
          <w:lang w:val="en-GB"/>
        </w:rPr>
        <w:t xml:space="preserve"> </w:t>
      </w:r>
      <w:r w:rsidRPr="00C932FD">
        <w:rPr>
          <w:iCs/>
          <w:sz w:val="21"/>
          <w:szCs w:val="21"/>
          <w:lang w:val="en-GB"/>
        </w:rPr>
        <w:t>Dissolving a partnership (un)fairly</w:t>
      </w:r>
      <w:r w:rsidRPr="00C932FD">
        <w:rPr>
          <w:sz w:val="21"/>
          <w:szCs w:val="21"/>
          <w:lang w:val="en-GB"/>
        </w:rPr>
        <w:t>.</w:t>
      </w:r>
      <w:r w:rsidRPr="00C932FD">
        <w:rPr>
          <w:iCs/>
          <w:sz w:val="21"/>
          <w:szCs w:val="21"/>
          <w:lang w:val="en-GB"/>
        </w:rPr>
        <w:t xml:space="preserve"> Econ Theory</w:t>
      </w:r>
      <w:r w:rsidRPr="00C932FD">
        <w:rPr>
          <w:sz w:val="21"/>
          <w:szCs w:val="21"/>
          <w:lang w:val="en-GB"/>
        </w:rPr>
        <w:t xml:space="preserve"> 23: 909</w:t>
      </w:r>
    </w:p>
    <w:p w14:paraId="66DA2C9A" w14:textId="77777777" w:rsidR="0026158C" w:rsidRPr="00C932FD" w:rsidRDefault="0026158C" w:rsidP="0026158C">
      <w:pPr>
        <w:pStyle w:val="FootnoteText"/>
        <w:spacing w:after="60"/>
        <w:jc w:val="both"/>
        <w:rPr>
          <w:sz w:val="21"/>
          <w:szCs w:val="21"/>
          <w:lang w:val="en-GB"/>
        </w:rPr>
      </w:pPr>
      <w:r w:rsidRPr="00C932FD">
        <w:rPr>
          <w:sz w:val="21"/>
          <w:szCs w:val="21"/>
          <w:lang w:val="en-GB"/>
        </w:rPr>
        <w:t xml:space="preserve">Nagar V, Petroni K, Wolfenzon D (2011) Governance Problems in Closely Held Corporations. </w:t>
      </w:r>
    </w:p>
    <w:p w14:paraId="5AEDF88B" w14:textId="77777777" w:rsidR="0026158C" w:rsidRPr="00C932FD" w:rsidRDefault="0026158C" w:rsidP="0026158C">
      <w:pPr>
        <w:spacing w:after="60"/>
        <w:ind w:left="567" w:hanging="567"/>
        <w:jc w:val="both"/>
        <w:rPr>
          <w:sz w:val="21"/>
          <w:szCs w:val="21"/>
          <w:lang w:val="en-US"/>
        </w:rPr>
      </w:pPr>
      <w:r w:rsidRPr="00C932FD">
        <w:rPr>
          <w:sz w:val="21"/>
          <w:szCs w:val="21"/>
          <w:lang w:val="it-IT"/>
        </w:rPr>
        <w:t xml:space="preserve">Nigro CA (2019) Venture capital-backed firms, trade sales e tutela dell’imprenditore tra shareholder value maximization e equa valorizzazione (Tesi di dottorato). </w:t>
      </w:r>
      <w:hyperlink r:id="rId9" w:history="1">
        <w:r w:rsidRPr="00C932FD">
          <w:rPr>
            <w:rStyle w:val="Hyperlink"/>
            <w:sz w:val="21"/>
            <w:szCs w:val="21"/>
            <w:lang w:val="en-US"/>
          </w:rPr>
          <w:t>https://papers.ssrn.com/sol3/papers.cfm?abstract_id=3669088</w:t>
        </w:r>
      </w:hyperlink>
    </w:p>
    <w:p w14:paraId="7664DC36" w14:textId="77777777" w:rsidR="0026158C" w:rsidRPr="00C932FD" w:rsidRDefault="0026158C" w:rsidP="0026158C">
      <w:pPr>
        <w:spacing w:after="60"/>
        <w:ind w:left="567" w:hanging="567"/>
        <w:jc w:val="both"/>
        <w:rPr>
          <w:sz w:val="21"/>
          <w:szCs w:val="21"/>
          <w:lang w:val="en-GB"/>
        </w:rPr>
      </w:pPr>
      <w:r w:rsidRPr="00C932FD">
        <w:rPr>
          <w:sz w:val="21"/>
          <w:szCs w:val="21"/>
          <w:lang w:val="en-GB"/>
        </w:rPr>
        <w:lastRenderedPageBreak/>
        <w:t xml:space="preserve">Nigro CA, Stahl JR (2020) Venture capital-backed firms, unavoidable value-destroying trade Sales, and fair value protections. Eur Bus Org LR 22: </w:t>
      </w:r>
      <w:r w:rsidRPr="00C932FD">
        <w:rPr>
          <w:sz w:val="21"/>
          <w:szCs w:val="21"/>
          <w:highlight w:val="yellow"/>
          <w:lang w:val="en-GB"/>
        </w:rPr>
        <w:t>___</w:t>
      </w:r>
    </w:p>
    <w:p w14:paraId="1660FD27"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North DC (1991) Institutions. J Econ Persp 5: 97</w:t>
      </w:r>
    </w:p>
    <w:p w14:paraId="21DC8C9F" w14:textId="77777777" w:rsidR="0026158C" w:rsidRPr="00C932FD" w:rsidRDefault="0026158C" w:rsidP="0026158C">
      <w:pPr>
        <w:pStyle w:val="FootnoteText"/>
        <w:spacing w:after="60"/>
        <w:jc w:val="both"/>
        <w:rPr>
          <w:sz w:val="21"/>
          <w:szCs w:val="21"/>
          <w:lang w:val="en-GB"/>
        </w:rPr>
      </w:pPr>
      <w:r w:rsidRPr="00C932FD">
        <w:rPr>
          <w:sz w:val="21"/>
          <w:szCs w:val="21"/>
          <w:lang w:val="en-GB"/>
        </w:rPr>
        <w:t xml:space="preserve">O'Kelley CR Jr. (1992) Filling Gaps in the Close Corporation Contract: A Transaction Cost Analysis. Nw. U. L. Rev. 87:216 </w:t>
      </w:r>
    </w:p>
    <w:p w14:paraId="250B863B" w14:textId="77777777" w:rsidR="0026158C" w:rsidRPr="00C932FD" w:rsidRDefault="0026158C" w:rsidP="0026158C">
      <w:pPr>
        <w:pStyle w:val="FootnoteText"/>
        <w:tabs>
          <w:tab w:val="left" w:pos="142"/>
        </w:tabs>
        <w:spacing w:after="60"/>
        <w:ind w:left="567" w:hanging="567"/>
        <w:jc w:val="both"/>
        <w:rPr>
          <w:sz w:val="21"/>
          <w:szCs w:val="21"/>
          <w:lang w:val="en-GB"/>
        </w:rPr>
      </w:pPr>
      <w:r w:rsidRPr="00C932FD">
        <w:rPr>
          <w:sz w:val="21"/>
          <w:szCs w:val="21"/>
          <w:lang w:val="en-GB"/>
        </w:rPr>
        <w:t>Ostrovsky A (2006) A Russian Phoenix struggles to stay free. Financial Times, 20 February 2006. Available at &lt;https://www.ft.com/content/e554fbd0-a14e-11da-9ca4-0000779e2340&gt;</w:t>
      </w:r>
    </w:p>
    <w:p w14:paraId="46295070"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Parglender M (2017) Comparative contract law and development: The missing link? George Wash L R 65: 1717</w:t>
      </w:r>
    </w:p>
    <w:p w14:paraId="39FFABB5"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Pistor K (2005) Legal ground rules in coordinated and liberal market economies. In: Hopt KJ, Wymeersch, Kanda H, Baum H (Eds) Corporate governance in context: Corporations, states, and markets in Europe, Japan, and the US, Oxford : Oxford University Press, p 249</w:t>
      </w:r>
    </w:p>
    <w:p w14:paraId="206B227C"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Rachlinski JJ (200) Heuristics and biases in the court: Ignorance or adaptation? (2000). Oregon LR 79: 61</w:t>
      </w:r>
    </w:p>
    <w:p w14:paraId="4916BFD2"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 xml:space="preserve">Reitz JC (2007) Political economy and contract law. In: Schulze R (Ed) New features in contract law, p 247 </w:t>
      </w:r>
    </w:p>
    <w:p w14:paraId="08C9ADCA"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Rock EB Wachter ML (1999) Waiting for the omelet to set: Match-specific assets and minority oppression in the close corporation. (1999). J Corp L 1999: 913</w:t>
      </w:r>
    </w:p>
    <w:p w14:paraId="3C1CD156"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Romano R (1985) Law as a product. J L Econ &amp; Org 1: 225</w:t>
      </w:r>
    </w:p>
    <w:p w14:paraId="38979780" w14:textId="77777777" w:rsidR="0026158C" w:rsidRPr="00C932FD" w:rsidRDefault="0026158C" w:rsidP="0026158C">
      <w:pPr>
        <w:pStyle w:val="FootnoteText"/>
        <w:spacing w:after="60"/>
        <w:ind w:left="567" w:hanging="567"/>
        <w:jc w:val="both"/>
        <w:rPr>
          <w:sz w:val="21"/>
          <w:szCs w:val="21"/>
        </w:rPr>
      </w:pPr>
      <w:r w:rsidRPr="00C932FD">
        <w:rPr>
          <w:sz w:val="21"/>
          <w:szCs w:val="21"/>
          <w:lang w:val="en-GB"/>
        </w:rPr>
        <w:t xml:space="preserve">Saez Lacave MI, Gutierrez NB (2010), Specific investments, opportunism and corporate contracts: A theory of tag-along and drag-along clauses. </w:t>
      </w:r>
      <w:r w:rsidRPr="00C932FD">
        <w:rPr>
          <w:iCs/>
          <w:sz w:val="21"/>
          <w:szCs w:val="21"/>
        </w:rPr>
        <w:t xml:space="preserve">Eur Bus Org L R </w:t>
      </w:r>
      <w:r w:rsidRPr="00C932FD">
        <w:rPr>
          <w:sz w:val="21"/>
          <w:szCs w:val="21"/>
        </w:rPr>
        <w:t xml:space="preserve">11: 423 </w:t>
      </w:r>
    </w:p>
    <w:p w14:paraId="2A9BD960" w14:textId="77777777" w:rsidR="0026158C" w:rsidRPr="00C932FD" w:rsidRDefault="0026158C" w:rsidP="0026158C">
      <w:pPr>
        <w:pStyle w:val="FootnoteText"/>
        <w:spacing w:after="60"/>
        <w:ind w:left="567" w:hanging="567"/>
        <w:jc w:val="both"/>
        <w:rPr>
          <w:sz w:val="21"/>
          <w:szCs w:val="21"/>
          <w:lang w:val="en-US"/>
        </w:rPr>
      </w:pPr>
      <w:r w:rsidRPr="00C932FD">
        <w:rPr>
          <w:sz w:val="21"/>
          <w:szCs w:val="21"/>
        </w:rPr>
        <w:t xml:space="preserve">Schmitt SS (2020) Radikale Beendigungsmechanismen im Gesellschaftsrecht. Russian Roulette, Texas Shoot Out und Co. aus rechtlicher, rechtsvergleichender und ökonomischer Perspektive. </w:t>
      </w:r>
      <w:r w:rsidRPr="00C932FD">
        <w:rPr>
          <w:sz w:val="21"/>
          <w:szCs w:val="21"/>
          <w:lang w:val="en-GB"/>
        </w:rPr>
        <w:t>T</w:t>
      </w:r>
      <w:r w:rsidRPr="00C932FD">
        <w:rPr>
          <w:sz w:val="21"/>
          <w:szCs w:val="21"/>
          <w:lang w:val="en-US"/>
        </w:rPr>
        <w:t>übingen : Mohr Siebeck</w:t>
      </w:r>
    </w:p>
    <w:p w14:paraId="37EF037A"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Schnyder G, Siems M, Aguilera RV (2018) Twenty years of ‘Law and Finance’: Time to take law seriously. Socio-Econ Rev 18: 1</w:t>
      </w:r>
    </w:p>
    <w:p w14:paraId="676543B9" w14:textId="77777777" w:rsidR="0026158C" w:rsidRPr="00C932FD" w:rsidRDefault="0026158C" w:rsidP="0026158C">
      <w:pPr>
        <w:pStyle w:val="FootnoteText"/>
        <w:tabs>
          <w:tab w:val="left" w:pos="142"/>
        </w:tabs>
        <w:spacing w:after="60"/>
        <w:ind w:left="567" w:hanging="567"/>
        <w:jc w:val="both"/>
        <w:rPr>
          <w:sz w:val="21"/>
          <w:szCs w:val="21"/>
        </w:rPr>
      </w:pPr>
      <w:r w:rsidRPr="00C932FD">
        <w:rPr>
          <w:sz w:val="21"/>
          <w:szCs w:val="21"/>
          <w:lang w:val="en-GB"/>
        </w:rPr>
        <w:t xml:space="preserve">Schulte N, Sieger JJ (2005) “Russian Roulette” und “Texas Shoot-Outs”. </w:t>
      </w:r>
      <w:r w:rsidRPr="00C932FD">
        <w:rPr>
          <w:sz w:val="21"/>
          <w:szCs w:val="21"/>
        </w:rPr>
        <w:t xml:space="preserve">Zur Gestaltung von radikalen Ausstiegsklauseln in Gesellschaftsverträgen von Joint-Venture-Gesellschaften (GmbH und GmbH &amp; Co. KG). Neue Zeitschrift für Gesellschaftsrecht 2005 </w:t>
      </w:r>
    </w:p>
    <w:p w14:paraId="32E3F955" w14:textId="77777777" w:rsidR="0026158C" w:rsidRPr="00C932FD" w:rsidRDefault="0026158C" w:rsidP="0026158C">
      <w:pPr>
        <w:pStyle w:val="FootnoteText"/>
        <w:spacing w:after="60"/>
        <w:ind w:left="567" w:hanging="567"/>
        <w:jc w:val="both"/>
        <w:rPr>
          <w:sz w:val="21"/>
          <w:szCs w:val="21"/>
        </w:rPr>
      </w:pPr>
      <w:r w:rsidRPr="00A601BC">
        <w:rPr>
          <w:sz w:val="21"/>
          <w:szCs w:val="21"/>
        </w:rPr>
        <w:t xml:space="preserve">Schwartz A (1993) The default rule paradigm and the limits of contract law. </w:t>
      </w:r>
      <w:r w:rsidRPr="00C932FD">
        <w:rPr>
          <w:sz w:val="21"/>
          <w:szCs w:val="21"/>
        </w:rPr>
        <w:t>South Cal Interdisc L J 3: 389</w:t>
      </w:r>
    </w:p>
    <w:p w14:paraId="6EE105A5" w14:textId="77777777" w:rsidR="0026158C" w:rsidRPr="00C932FD" w:rsidRDefault="0026158C" w:rsidP="0026158C">
      <w:pPr>
        <w:pStyle w:val="FootnoteText"/>
        <w:tabs>
          <w:tab w:val="left" w:pos="142"/>
        </w:tabs>
        <w:spacing w:after="60"/>
        <w:ind w:left="567" w:hanging="567"/>
        <w:jc w:val="both"/>
        <w:rPr>
          <w:sz w:val="21"/>
          <w:szCs w:val="21"/>
          <w:lang w:val="en-GB"/>
        </w:rPr>
      </w:pPr>
      <w:r w:rsidRPr="00C932FD">
        <w:rPr>
          <w:sz w:val="21"/>
          <w:szCs w:val="21"/>
          <w:lang w:val="it-IT"/>
        </w:rPr>
        <w:t>Sciannaca</w:t>
      </w:r>
      <w:r>
        <w:rPr>
          <w:sz w:val="21"/>
          <w:szCs w:val="21"/>
          <w:lang w:val="it-IT"/>
        </w:rPr>
        <w:t xml:space="preserve"> </w:t>
      </w:r>
      <w:r w:rsidRPr="00C932FD">
        <w:rPr>
          <w:sz w:val="21"/>
          <w:szCs w:val="21"/>
          <w:lang w:val="it-IT"/>
        </w:rPr>
        <w:t>B (2019) Russian Roulette Clause.</w:t>
      </w:r>
      <w:r w:rsidRPr="00A601BC">
        <w:rPr>
          <w:sz w:val="21"/>
          <w:szCs w:val="21"/>
          <w:lang w:val="it-IT"/>
        </w:rPr>
        <w:t xml:space="preserve"> </w:t>
      </w:r>
      <w:r w:rsidRPr="00C932FD">
        <w:rPr>
          <w:sz w:val="21"/>
          <w:szCs w:val="21"/>
          <w:lang w:val="en-GB"/>
        </w:rPr>
        <w:t>Giur comm ____: 875</w:t>
      </w:r>
    </w:p>
    <w:p w14:paraId="49A28DFE"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 xml:space="preserve">Scott RE, Triantis GG (2005) Incomplete contracts and the theory of contract design. Cas W Res L Rev 56: 187 </w:t>
      </w:r>
    </w:p>
    <w:p w14:paraId="7C2E1745" w14:textId="77777777" w:rsidR="0026158C" w:rsidRPr="00C932FD" w:rsidRDefault="0026158C" w:rsidP="0026158C">
      <w:pPr>
        <w:spacing w:after="60"/>
        <w:ind w:left="567" w:hanging="567"/>
        <w:jc w:val="both"/>
        <w:rPr>
          <w:sz w:val="21"/>
          <w:szCs w:val="21"/>
          <w:lang w:val="en-GB"/>
        </w:rPr>
      </w:pPr>
      <w:r w:rsidRPr="00C932FD">
        <w:rPr>
          <w:sz w:val="21"/>
          <w:szCs w:val="21"/>
          <w:lang w:val="en-GB"/>
        </w:rPr>
        <w:t>Shavell SM (1993) The optimal structure of law enforcement. J L &amp; Econ 36: 255</w:t>
      </w:r>
    </w:p>
    <w:p w14:paraId="0F3FB5A5" w14:textId="77777777" w:rsidR="0026158C" w:rsidRPr="00C932FD" w:rsidRDefault="0026158C" w:rsidP="0026158C">
      <w:pPr>
        <w:spacing w:after="60"/>
        <w:ind w:left="567" w:hanging="567"/>
        <w:jc w:val="both"/>
        <w:rPr>
          <w:sz w:val="21"/>
          <w:szCs w:val="21"/>
          <w:lang w:val="en-GB"/>
        </w:rPr>
      </w:pPr>
      <w:r w:rsidRPr="00C932FD">
        <w:rPr>
          <w:sz w:val="21"/>
          <w:szCs w:val="21"/>
          <w:lang w:val="en-GB"/>
        </w:rPr>
        <w:t>Shavell SM (2004) Foundations of economic analysis of law. Cambridge (MA) : Harvard University Press</w:t>
      </w:r>
    </w:p>
    <w:p w14:paraId="1A282CEC"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Smith DG, King BG (2009) Contracts as organizations. Ariz L R 51: 1</w:t>
      </w:r>
    </w:p>
    <w:p w14:paraId="12501322" w14:textId="77777777" w:rsidR="0026158C" w:rsidRPr="00C932FD" w:rsidRDefault="0026158C" w:rsidP="0026158C">
      <w:pPr>
        <w:pStyle w:val="FootnoteText"/>
        <w:spacing w:after="60"/>
        <w:jc w:val="both"/>
        <w:rPr>
          <w:sz w:val="21"/>
          <w:szCs w:val="21"/>
          <w:lang w:val="en-US"/>
        </w:rPr>
      </w:pPr>
      <w:r w:rsidRPr="00C932FD">
        <w:rPr>
          <w:sz w:val="21"/>
          <w:szCs w:val="21"/>
          <w:lang w:val="en-US"/>
        </w:rPr>
        <w:t>Snyder CM (1996) Negotiation and renegotiation of optimal financial contracts under the threat of predation. J Ind Econ 44: 325-343</w:t>
      </w:r>
    </w:p>
    <w:p w14:paraId="24FAB813"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 xml:space="preserve">Spamann H (2010) Legal origins, civil procedure, and the quality of contract enforcement. J Inst. &amp; Theor Econ 166: 149 </w:t>
      </w:r>
    </w:p>
    <w:p w14:paraId="417477A3" w14:textId="77777777" w:rsidR="0026158C" w:rsidRPr="00C932FD" w:rsidRDefault="0026158C" w:rsidP="0026158C">
      <w:pPr>
        <w:pStyle w:val="FootnoteText"/>
        <w:spacing w:after="60"/>
        <w:ind w:left="567" w:hanging="567"/>
        <w:jc w:val="both"/>
        <w:rPr>
          <w:sz w:val="21"/>
          <w:szCs w:val="21"/>
          <w:lang w:val="en-US"/>
        </w:rPr>
      </w:pPr>
      <w:r w:rsidRPr="00C932FD">
        <w:rPr>
          <w:sz w:val="21"/>
          <w:szCs w:val="21"/>
          <w:lang w:val="en-US"/>
        </w:rPr>
        <w:t xml:space="preserve">Sulugiuc G (2008) Reuters UK Reports, 3 January 2008. Available at: &lt;http://uk.reuters.com&gt; </w:t>
      </w:r>
    </w:p>
    <w:p w14:paraId="2C1E6DAD" w14:textId="77777777" w:rsidR="0026158C" w:rsidRPr="00C932FD" w:rsidRDefault="0026158C" w:rsidP="0026158C">
      <w:pPr>
        <w:pStyle w:val="FootnoteText"/>
        <w:spacing w:after="60"/>
        <w:jc w:val="both"/>
        <w:rPr>
          <w:sz w:val="21"/>
          <w:szCs w:val="21"/>
          <w:lang w:val="en-GB"/>
        </w:rPr>
      </w:pPr>
      <w:r w:rsidRPr="00C932FD">
        <w:rPr>
          <w:sz w:val="21"/>
          <w:szCs w:val="21"/>
          <w:lang w:val="en-GB"/>
        </w:rPr>
        <w:t>Schreier WT, Joy OM (1978) Judicial Valuation of Close Corporation Stock: Alice in Wonderland Revisited. Okla Law Rev 31:853</w:t>
      </w:r>
    </w:p>
    <w:p w14:paraId="266247F0"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 xml:space="preserve">Tirole J (2006) A theory of corporate finance. Princeton-Oxford : Princeton University Press, </w:t>
      </w:r>
      <w:r w:rsidRPr="00C932FD">
        <w:rPr>
          <w:sz w:val="21"/>
          <w:szCs w:val="21"/>
          <w:highlight w:val="yellow"/>
          <w:lang w:val="en-GB"/>
        </w:rPr>
        <w:t>___</w:t>
      </w:r>
      <w:r w:rsidRPr="00C932FD">
        <w:rPr>
          <w:sz w:val="21"/>
          <w:szCs w:val="21"/>
          <w:lang w:val="en-GB"/>
        </w:rPr>
        <w:t>th Ed.</w:t>
      </w:r>
    </w:p>
    <w:p w14:paraId="236E7D9C"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lastRenderedPageBreak/>
        <w:t>Trebilcock M, Leng J (2006) The role of formal contract law and enforcement in economic Development. Va L Rev 92: 1517</w:t>
      </w:r>
    </w:p>
    <w:p w14:paraId="60D57EB8"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Unger SI (2013) What is corporate deadlock. New Jersey Law Blog, 9 April 2013. Available at: &lt;https://www.njlawblog.com/2013/04/articles/litigation/what-is-corporate-deadlock/&gt;</w:t>
      </w:r>
    </w:p>
    <w:p w14:paraId="796B49C2"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Ventoruzzo M (2008) Takeover regulation as a wolf in sheep's clothing: Taking UK rules to continental Europe. U Pa J Bus L 11: 135</w:t>
      </w:r>
    </w:p>
    <w:p w14:paraId="23F98D6A" w14:textId="77777777" w:rsidR="0026158C" w:rsidRPr="00C932FD" w:rsidRDefault="0026158C" w:rsidP="0026158C">
      <w:pPr>
        <w:pStyle w:val="FootnoteText"/>
        <w:tabs>
          <w:tab w:val="left" w:pos="142"/>
        </w:tabs>
        <w:spacing w:after="60"/>
        <w:ind w:left="567" w:hanging="567"/>
        <w:jc w:val="both"/>
        <w:rPr>
          <w:sz w:val="21"/>
          <w:szCs w:val="21"/>
          <w:lang w:val="en-GB"/>
        </w:rPr>
      </w:pPr>
      <w:r w:rsidRPr="00C932FD">
        <w:rPr>
          <w:sz w:val="21"/>
          <w:szCs w:val="21"/>
          <w:lang w:val="en-GB"/>
        </w:rPr>
        <w:t>Warrillow J (2010) The ugly downside of a Shotgun business partnership. The Globe and Mail, 17 June 2010. Available at &lt;https://www.theglobeandmail.com/report-on-business/small-business/sb-money/ugly-downside-of-a-shotgun-business-partnership/article626688/&gt;.</w:t>
      </w:r>
    </w:p>
    <w:p w14:paraId="37B2F1C0"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 xml:space="preserve">Wells H (2008) The Rise of the Close Corporation and the Making of Corporation Law.  Berkeley Bus L J. 5:263 </w:t>
      </w:r>
    </w:p>
    <w:p w14:paraId="66F12F36"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Williamson OE (1975), Economics of internal organization. New York : Free Press, 1975</w:t>
      </w:r>
    </w:p>
    <w:p w14:paraId="4DAD0A00" w14:textId="77777777" w:rsidR="0026158C" w:rsidRPr="00C932FD" w:rsidRDefault="0026158C" w:rsidP="0026158C">
      <w:pPr>
        <w:pStyle w:val="FootnoteText"/>
        <w:spacing w:after="60"/>
        <w:ind w:left="567" w:hanging="567"/>
        <w:jc w:val="both"/>
        <w:rPr>
          <w:sz w:val="21"/>
          <w:szCs w:val="21"/>
          <w:lang w:val="en-US"/>
        </w:rPr>
      </w:pPr>
      <w:r w:rsidRPr="00C932FD">
        <w:rPr>
          <w:sz w:val="21"/>
          <w:szCs w:val="21"/>
          <w:lang w:val="en-US"/>
        </w:rPr>
        <w:t xml:space="preserve">Zalivako A (2012) </w:t>
      </w:r>
      <w:r w:rsidRPr="00C932FD">
        <w:rPr>
          <w:sz w:val="21"/>
          <w:szCs w:val="21"/>
          <w:lang w:val="en-GB"/>
        </w:rPr>
        <w:t>Structuring corporate governance in close firms: Legal problems and their practical solutions</w:t>
      </w:r>
      <w:r w:rsidRPr="00C932FD">
        <w:rPr>
          <w:sz w:val="21"/>
          <w:szCs w:val="21"/>
          <w:lang w:val="en-US"/>
        </w:rPr>
        <w:t>. Available at &lt;http://www.law.harvard.edu/programs/corp_gov/papers/Brudney2012_Zalivako.pdf&gt;</w:t>
      </w:r>
    </w:p>
    <w:p w14:paraId="0265849C" w14:textId="77777777" w:rsidR="0026158C" w:rsidRPr="00C932FD" w:rsidRDefault="0026158C" w:rsidP="0026158C">
      <w:pPr>
        <w:pStyle w:val="FootnoteText"/>
        <w:spacing w:after="60"/>
        <w:ind w:left="567" w:hanging="567"/>
        <w:jc w:val="both"/>
        <w:rPr>
          <w:sz w:val="21"/>
          <w:szCs w:val="21"/>
          <w:lang w:val="en-GB"/>
        </w:rPr>
      </w:pPr>
      <w:r w:rsidRPr="00C932FD">
        <w:rPr>
          <w:sz w:val="21"/>
          <w:szCs w:val="21"/>
          <w:lang w:val="en-GB"/>
        </w:rPr>
        <w:t xml:space="preserve">Zumbasen P (2015) Law, economics, and more: The genius of contract governance. In: Grundmann S, Möslein F, and Riesenhuber K (Eds), Contract governance: Dimensions in law and interdisciplinary research, Oxford : Oxford University Press, pp </w:t>
      </w:r>
      <w:r w:rsidRPr="004F018A">
        <w:rPr>
          <w:sz w:val="21"/>
          <w:szCs w:val="21"/>
          <w:highlight w:val="yellow"/>
          <w:lang w:val="en-GB"/>
        </w:rPr>
        <w:t>___</w:t>
      </w:r>
    </w:p>
    <w:p w14:paraId="0B9D09A6" w14:textId="77777777" w:rsidR="0026158C" w:rsidRPr="00C932FD" w:rsidRDefault="0026158C" w:rsidP="0026158C">
      <w:pPr>
        <w:pStyle w:val="Heading1"/>
        <w:spacing w:before="2760" w:after="240"/>
        <w:jc w:val="both"/>
        <w:rPr>
          <w:b/>
          <w:iCs/>
          <w:smallCaps w:val="0"/>
          <w:sz w:val="23"/>
          <w:szCs w:val="23"/>
          <w:lang w:val="en-US"/>
        </w:rPr>
      </w:pPr>
      <w:bookmarkStart w:id="116" w:name="_Toc57918508"/>
      <w:bookmarkStart w:id="117" w:name="_Toc58274714"/>
      <w:bookmarkStart w:id="118" w:name="_Toc58968076"/>
      <w:bookmarkStart w:id="119" w:name="_Toc65861845"/>
      <w:bookmarkStart w:id="120" w:name="_Toc66097987"/>
      <w:bookmarkStart w:id="121" w:name="_Toc66125124"/>
      <w:bookmarkStart w:id="122" w:name="_Toc66273110"/>
      <w:bookmarkStart w:id="123" w:name="_Toc67392688"/>
      <w:r w:rsidRPr="00C932FD">
        <w:rPr>
          <w:b/>
          <w:iCs/>
          <w:smallCaps w:val="0"/>
          <w:sz w:val="23"/>
          <w:szCs w:val="23"/>
          <w:lang w:val="en-US"/>
        </w:rPr>
        <w:t>Affiliation, Acknowledgments</w:t>
      </w:r>
      <w:bookmarkEnd w:id="116"/>
      <w:bookmarkEnd w:id="117"/>
      <w:r w:rsidRPr="00C932FD">
        <w:rPr>
          <w:b/>
          <w:iCs/>
          <w:smallCaps w:val="0"/>
          <w:sz w:val="23"/>
          <w:szCs w:val="23"/>
          <w:lang w:val="en-US"/>
        </w:rPr>
        <w:t>, and Authorship</w:t>
      </w:r>
      <w:bookmarkEnd w:id="118"/>
      <w:bookmarkEnd w:id="119"/>
      <w:bookmarkEnd w:id="120"/>
      <w:bookmarkEnd w:id="121"/>
      <w:bookmarkEnd w:id="122"/>
      <w:bookmarkEnd w:id="123"/>
    </w:p>
    <w:p w14:paraId="529E9B43" w14:textId="48F7D9E4" w:rsidR="0026158C" w:rsidRPr="00336C11" w:rsidRDefault="00494A39" w:rsidP="00965F18">
      <w:pPr>
        <w:pStyle w:val="NormalWeb"/>
        <w:spacing w:before="120" w:beforeAutospacing="0" w:after="0" w:afterAutospacing="0"/>
        <w:jc w:val="both"/>
        <w:rPr>
          <w:sz w:val="22"/>
          <w:szCs w:val="22"/>
          <w:lang w:val="en-US"/>
        </w:rPr>
      </w:pPr>
      <w:r>
        <w:rPr>
          <w:sz w:val="21"/>
          <w:szCs w:val="21"/>
          <w:lang w:val="en-GB"/>
        </w:rPr>
        <w:t>[</w:t>
      </w:r>
      <w:r w:rsidRPr="00494A39">
        <w:rPr>
          <w:i/>
          <w:sz w:val="21"/>
          <w:szCs w:val="21"/>
          <w:highlight w:val="yellow"/>
          <w:lang w:val="en-GB"/>
        </w:rPr>
        <w:t>To be written</w:t>
      </w:r>
      <w:r>
        <w:rPr>
          <w:sz w:val="21"/>
          <w:szCs w:val="21"/>
          <w:lang w:val="en-GB"/>
        </w:rPr>
        <w:t>]</w:t>
      </w:r>
    </w:p>
    <w:sectPr w:rsidR="0026158C" w:rsidRPr="00336C11" w:rsidSect="00483547">
      <w:pgSz w:w="11906" w:h="16838"/>
      <w:pgMar w:top="1701" w:right="2268" w:bottom="1701" w:left="1701"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657BB" w16cex:dateUtc="2021-03-24T23:28:00Z"/>
  <w16cex:commentExtensible w16cex:durableId="240654FE" w16cex:dateUtc="2021-03-24T23:17:00Z"/>
  <w16cex:commentExtensible w16cex:durableId="2406561B" w16cex:dateUtc="2021-03-24T23:21:00Z"/>
  <w16cex:commentExtensible w16cex:durableId="240656DB" w16cex:dateUtc="2021-03-24T2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9504D2" w16cid:durableId="240657BB"/>
  <w16cid:commentId w16cid:paraId="0E6CB365" w16cid:durableId="240654FE"/>
  <w16cid:commentId w16cid:paraId="5BB112DE" w16cid:durableId="2406561B"/>
  <w16cid:commentId w16cid:paraId="4A344ACD" w16cid:durableId="240656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50302" w14:textId="77777777" w:rsidR="00E1219B" w:rsidRDefault="00E1219B" w:rsidP="00D6452C">
      <w:r>
        <w:separator/>
      </w:r>
    </w:p>
  </w:endnote>
  <w:endnote w:type="continuationSeparator" w:id="0">
    <w:p w14:paraId="78B00E61" w14:textId="77777777" w:rsidR="00E1219B" w:rsidRDefault="00E1219B" w:rsidP="00D64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607463"/>
      <w:docPartObj>
        <w:docPartGallery w:val="Page Numbers (Bottom of Page)"/>
        <w:docPartUnique/>
      </w:docPartObj>
    </w:sdtPr>
    <w:sdtEndPr>
      <w:rPr>
        <w:sz w:val="20"/>
      </w:rPr>
    </w:sdtEndPr>
    <w:sdtContent>
      <w:p w14:paraId="07BD6EA6" w14:textId="5AD40C23" w:rsidR="00837B84" w:rsidRPr="003E3274" w:rsidRDefault="00837B84" w:rsidP="003E3274">
        <w:pPr>
          <w:pStyle w:val="Footer"/>
          <w:spacing w:before="240"/>
          <w:jc w:val="right"/>
          <w:rPr>
            <w:sz w:val="20"/>
          </w:rPr>
        </w:pPr>
        <w:r w:rsidRPr="003E3274">
          <w:rPr>
            <w:sz w:val="20"/>
          </w:rPr>
          <w:fldChar w:fldCharType="begin"/>
        </w:r>
        <w:r w:rsidRPr="003E3274">
          <w:rPr>
            <w:sz w:val="20"/>
          </w:rPr>
          <w:instrText>PAGE   \* MERGEFORMAT</w:instrText>
        </w:r>
        <w:r w:rsidRPr="003E3274">
          <w:rPr>
            <w:sz w:val="20"/>
          </w:rPr>
          <w:fldChar w:fldCharType="separate"/>
        </w:r>
        <w:r w:rsidR="0028605C">
          <w:rPr>
            <w:noProof/>
            <w:sz w:val="20"/>
          </w:rPr>
          <w:t>23</w:t>
        </w:r>
        <w:r w:rsidRPr="003E3274">
          <w:rPr>
            <w:sz w:val="20"/>
          </w:rPr>
          <w:fldChar w:fldCharType="end"/>
        </w:r>
      </w:p>
    </w:sdtContent>
  </w:sdt>
  <w:p w14:paraId="094A9B9E" w14:textId="77777777" w:rsidR="00837B84" w:rsidRDefault="00837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0E896" w14:textId="77777777" w:rsidR="00E1219B" w:rsidRDefault="00E1219B" w:rsidP="00D6452C">
      <w:r>
        <w:separator/>
      </w:r>
    </w:p>
  </w:footnote>
  <w:footnote w:type="continuationSeparator" w:id="0">
    <w:p w14:paraId="2FFB23FB" w14:textId="77777777" w:rsidR="00E1219B" w:rsidRDefault="00E1219B" w:rsidP="00D6452C">
      <w:r>
        <w:continuationSeparator/>
      </w:r>
    </w:p>
  </w:footnote>
  <w:footnote w:id="1">
    <w:p w14:paraId="732DD31C" w14:textId="44F2EF84" w:rsidR="00837B84" w:rsidRPr="00C1598F" w:rsidRDefault="00837B84" w:rsidP="009065CE">
      <w:pPr>
        <w:pStyle w:val="FootnoteText"/>
        <w:snapToGrid w:val="0"/>
        <w:ind w:firstLine="567"/>
        <w:jc w:val="both"/>
        <w:rPr>
          <w:lang w:val="en-US"/>
        </w:rPr>
      </w:pPr>
      <w:r w:rsidRPr="00C1598F">
        <w:rPr>
          <w:rStyle w:val="FootnoteReference"/>
          <w:rFonts w:ascii="Times New Roman" w:hAnsi="Times New Roman"/>
          <w:sz w:val="20"/>
        </w:rPr>
        <w:footnoteRef/>
      </w:r>
      <w:r w:rsidRPr="00C1598F">
        <w:rPr>
          <w:rFonts w:eastAsiaTheme="minorHAnsi"/>
          <w:lang w:val="en-US"/>
        </w:rPr>
        <w:t xml:space="preserve"> See below, Section 2.1.</w:t>
      </w:r>
    </w:p>
  </w:footnote>
  <w:footnote w:id="2">
    <w:p w14:paraId="052DD6F1" w14:textId="2304093B" w:rsidR="00837B84" w:rsidRPr="00C1598F" w:rsidRDefault="00837B84">
      <w:pPr>
        <w:pStyle w:val="FootnoteText"/>
        <w:snapToGrid w:val="0"/>
        <w:ind w:firstLine="567"/>
        <w:jc w:val="both"/>
        <w:rPr>
          <w:lang w:val="en-US"/>
        </w:rPr>
      </w:pPr>
      <w:r w:rsidRPr="00C1598F">
        <w:rPr>
          <w:rStyle w:val="FootnoteReference"/>
          <w:rFonts w:ascii="Times New Roman" w:hAnsi="Times New Roman"/>
          <w:sz w:val="20"/>
        </w:rPr>
        <w:footnoteRef/>
      </w:r>
      <w:r w:rsidRPr="00C1598F">
        <w:rPr>
          <w:lang w:val="en-US"/>
        </w:rPr>
        <w:t xml:space="preserve"> Deadlocks can materialize at either the director or shareholder level and, thus, unfold within the board of directors or the general meeting (or the corresponding, possibly informal, </w:t>
      </w:r>
      <w:r w:rsidRPr="00C1598F">
        <w:rPr>
          <w:i/>
          <w:iCs/>
          <w:lang w:val="en-US"/>
        </w:rPr>
        <w:t>locus</w:t>
      </w:r>
      <w:r w:rsidRPr="00C1598F">
        <w:rPr>
          <w:lang w:val="en-US"/>
        </w:rPr>
        <w:t xml:space="preserve"> where shareholders make decisions), respectively. See, e.g., Hewitt (2001), p. 242. The focus here is on shareholders deadlocks only.</w:t>
      </w:r>
    </w:p>
  </w:footnote>
  <w:footnote w:id="3">
    <w:p w14:paraId="4E436046" w14:textId="02E9A8F5" w:rsidR="00837B84" w:rsidRPr="00C1598F" w:rsidRDefault="00837B84">
      <w:pPr>
        <w:snapToGrid w:val="0"/>
        <w:ind w:firstLine="567"/>
        <w:jc w:val="both"/>
        <w:rPr>
          <w:sz w:val="20"/>
          <w:szCs w:val="20"/>
          <w:lang w:val="en-US"/>
        </w:rPr>
      </w:pPr>
      <w:r w:rsidRPr="00C1598F">
        <w:rPr>
          <w:rStyle w:val="FootnoteReference"/>
          <w:rFonts w:ascii="Times New Roman" w:hAnsi="Times New Roman"/>
          <w:sz w:val="20"/>
          <w:szCs w:val="20"/>
        </w:rPr>
        <w:footnoteRef/>
      </w:r>
      <w:r w:rsidRPr="00C1598F">
        <w:rPr>
          <w:sz w:val="20"/>
          <w:szCs w:val="20"/>
          <w:lang w:val="en-US"/>
        </w:rPr>
        <w:t xml:space="preserve"> T</w:t>
      </w:r>
      <w:r w:rsidRPr="00C1598F">
        <w:rPr>
          <w:sz w:val="20"/>
          <w:szCs w:val="20"/>
          <w:shd w:val="clear" w:color="auto" w:fill="FFFFFF"/>
          <w:lang w:val="en-US"/>
        </w:rPr>
        <w:t>he shareholders in the ideal close firms considered throughout this article are risk-neutral agents without any individual time preference. Accordingly, the discount rate for future cash flows is equal to 1 and the expected post-deadlock firm value is equivalent to net present value</w:t>
      </w:r>
      <w:r w:rsidRPr="00C1598F">
        <w:rPr>
          <w:sz w:val="20"/>
          <w:szCs w:val="20"/>
          <w:lang w:val="en-US"/>
        </w:rPr>
        <w:t xml:space="preserve">. </w:t>
      </w:r>
    </w:p>
  </w:footnote>
  <w:footnote w:id="4">
    <w:p w14:paraId="101C7F31" w14:textId="11B5EDC8" w:rsidR="00837B84" w:rsidRPr="00C1598F" w:rsidRDefault="00837B84" w:rsidP="00F0344B">
      <w:pPr>
        <w:pStyle w:val="FootnoteText"/>
        <w:snapToGrid w:val="0"/>
        <w:ind w:firstLine="567"/>
        <w:jc w:val="both"/>
        <w:rPr>
          <w:lang w:val="en-US"/>
        </w:rPr>
      </w:pPr>
      <w:r w:rsidRPr="00C1598F">
        <w:rPr>
          <w:rStyle w:val="FootnoteReference"/>
          <w:rFonts w:ascii="Times New Roman" w:hAnsi="Times New Roman"/>
          <w:sz w:val="20"/>
          <w:lang w:val="en-US"/>
        </w:rPr>
        <w:footnoteRef/>
      </w:r>
      <w:r w:rsidRPr="00C1598F">
        <w:rPr>
          <w:lang w:val="en-US"/>
        </w:rPr>
        <w:t xml:space="preserve"> For a similar definition, see </w:t>
      </w:r>
      <w:r w:rsidRPr="00C1598F">
        <w:rPr>
          <w:color w:val="5B9BD5" w:themeColor="accent1"/>
          <w:lang w:val="en-US"/>
        </w:rPr>
        <w:t>Landeo &amp; Spier</w:t>
      </w:r>
      <w:r w:rsidRPr="00C1598F">
        <w:rPr>
          <w:smallCaps/>
          <w:lang w:val="en-US"/>
        </w:rPr>
        <w:t xml:space="preserve"> (2014)</w:t>
      </w:r>
      <w:r w:rsidRPr="00C1598F">
        <w:rPr>
          <w:lang w:val="en-US"/>
        </w:rPr>
        <w:t xml:space="preserve">, p 147, nt. 15; and </w:t>
      </w:r>
      <w:r w:rsidRPr="00C1598F">
        <w:rPr>
          <w:color w:val="5B9BD5" w:themeColor="accent1"/>
          <w:lang w:val="en-US"/>
        </w:rPr>
        <w:t>Morgan</w:t>
      </w:r>
      <w:r w:rsidRPr="00C1598F">
        <w:rPr>
          <w:lang w:val="en-US"/>
        </w:rPr>
        <w:t xml:space="preserve"> (2004), p 910.</w:t>
      </w:r>
    </w:p>
  </w:footnote>
  <w:footnote w:id="5">
    <w:p w14:paraId="03A45374" w14:textId="5A19E762" w:rsidR="00837B84" w:rsidRPr="00C1598F" w:rsidRDefault="00837B84" w:rsidP="00413D0E">
      <w:pPr>
        <w:pStyle w:val="FootnoteText"/>
        <w:snapToGrid w:val="0"/>
        <w:ind w:firstLine="567"/>
        <w:jc w:val="both"/>
        <w:rPr>
          <w:lang w:val="en-US"/>
        </w:rPr>
      </w:pPr>
      <w:r w:rsidRPr="00C1598F">
        <w:rPr>
          <w:rStyle w:val="FootnoteReference"/>
          <w:rFonts w:ascii="Times New Roman" w:hAnsi="Times New Roman"/>
          <w:sz w:val="20"/>
        </w:rPr>
        <w:footnoteRef/>
      </w:r>
      <w:r w:rsidRPr="00C1598F">
        <w:rPr>
          <w:lang w:val="en-US"/>
        </w:rPr>
        <w:t xml:space="preserve"> Here meant in a very broad sense, as the set of rules crafted by the legislature or the judicial governing social behavior. See Black (1997), p 19.</w:t>
      </w:r>
      <w:r w:rsidRPr="00C1598F">
        <w:rPr>
          <w:lang w:val="en-GB"/>
        </w:rPr>
        <w:t xml:space="preserve"> Also, the term here refers to both a necessarily incomplete regulatory apparatus and the necessary complementing enforcement.</w:t>
      </w:r>
      <w:r w:rsidRPr="00C1598F">
        <w:rPr>
          <w:lang w:val="en-US"/>
        </w:rPr>
        <w:t xml:space="preserve"> This reflects the fact that law is inherently incomplete and that enforcement needs to complete it. See Pistor &amp; Xu (2003).</w:t>
      </w:r>
    </w:p>
  </w:footnote>
  <w:footnote w:id="6">
    <w:p w14:paraId="3957D10E" w14:textId="77777777" w:rsidR="00837B84" w:rsidRPr="00C1598F" w:rsidRDefault="00837B84" w:rsidP="005A38EC">
      <w:pPr>
        <w:pStyle w:val="FootnoteText"/>
        <w:ind w:firstLine="567"/>
        <w:jc w:val="both"/>
        <w:rPr>
          <w:lang w:val="en-US"/>
        </w:rPr>
      </w:pPr>
      <w:r w:rsidRPr="00C1598F">
        <w:rPr>
          <w:rStyle w:val="FootnoteReference"/>
          <w:rFonts w:ascii="Times New Roman" w:hAnsi="Times New Roman"/>
          <w:sz w:val="20"/>
        </w:rPr>
        <w:footnoteRef/>
      </w:r>
      <w:r w:rsidRPr="00C1598F">
        <w:rPr>
          <w:lang w:val="en-US"/>
        </w:rPr>
        <w:t xml:space="preserve"> </w:t>
      </w:r>
      <w:r w:rsidRPr="00C1598F">
        <w:rPr>
          <w:lang w:val="en-GB"/>
        </w:rPr>
        <w:t xml:space="preserve">Terminology in this context is still very fluid: Russian Roulette provisions are from time to time dubbed as “Shotgun clauses”, “Crossed options clauses”, “Buy-sell clauses”, “Texas Shoot-out clauses”, “Chinese clauses”, and the like. </w:t>
      </w:r>
      <w:r w:rsidRPr="00C1598F">
        <w:rPr>
          <w:lang w:val="en-US"/>
        </w:rPr>
        <w:t xml:space="preserve">US case law shows particularly well the variety of these denominations. For references, see Landeo &amp; Spier (2014), p 146, nt. 13. The resulting analysis does in fact extend to other private ordering-based solution that, despite their different denominations, exhibit a design that generates incentives that are similar to those produced by the Russian Roulette provisions considered herein. Symmetrically, it does not extend to </w:t>
      </w:r>
      <w:r w:rsidRPr="00C1598F">
        <w:rPr>
          <w:iCs/>
          <w:lang w:val="en-US"/>
        </w:rPr>
        <w:t>other</w:t>
      </w:r>
      <w:r w:rsidRPr="00C1598F">
        <w:rPr>
          <w:lang w:val="en-US"/>
        </w:rPr>
        <w:t xml:space="preserve"> contract devices that, although named as Russian Roulette provisions, feature a design that does not match the design of the Russian Roulette provisions considered here. </w:t>
      </w:r>
    </w:p>
  </w:footnote>
  <w:footnote w:id="7">
    <w:p w14:paraId="2EEF2368" w14:textId="3B3BADFE" w:rsidR="00837B84" w:rsidRPr="00C1598F" w:rsidRDefault="00837B84" w:rsidP="004F22E5">
      <w:pPr>
        <w:pStyle w:val="FootnoteText"/>
        <w:ind w:firstLine="567"/>
        <w:jc w:val="both"/>
        <w:rPr>
          <w:lang w:val="en-US"/>
        </w:rPr>
      </w:pPr>
      <w:r w:rsidRPr="00C1598F">
        <w:rPr>
          <w:rStyle w:val="FootnoteReference"/>
          <w:rFonts w:ascii="Times New Roman" w:hAnsi="Times New Roman"/>
          <w:sz w:val="20"/>
        </w:rPr>
        <w:footnoteRef/>
      </w:r>
      <w:r w:rsidRPr="00C1598F">
        <w:rPr>
          <w:lang w:val="en-US"/>
        </w:rPr>
        <w:t xml:space="preserve"> See Landeo &amp; Spier (2014), p 159, n. 67.</w:t>
      </w:r>
    </w:p>
  </w:footnote>
  <w:footnote w:id="8">
    <w:p w14:paraId="3F1A3852" w14:textId="77777777" w:rsidR="00837B84" w:rsidRPr="00C1598F" w:rsidRDefault="00837B84" w:rsidP="00950738">
      <w:pPr>
        <w:pStyle w:val="FootnoteText"/>
        <w:snapToGrid w:val="0"/>
        <w:ind w:firstLine="567"/>
        <w:jc w:val="both"/>
        <w:rPr>
          <w:lang w:val="en-US"/>
        </w:rPr>
      </w:pPr>
      <w:r w:rsidRPr="00C1598F">
        <w:rPr>
          <w:rStyle w:val="FootnoteReference"/>
          <w:rFonts w:ascii="Times New Roman" w:hAnsi="Times New Roman"/>
          <w:sz w:val="20"/>
        </w:rPr>
        <w:footnoteRef/>
      </w:r>
      <w:r w:rsidRPr="00C1598F">
        <w:rPr>
          <w:lang w:val="en-US"/>
        </w:rPr>
        <w:t xml:space="preserve"> The most important book in corporate law scholarship does deal exclusively with public firms: see Armour et al. (2017). The literature does often emphasize this fact. See, e.g., Blair (2019), p 197. In a sense, this is also true with regard to lawmaking. See, for instance, Wells (2008) discussing the impact that the paradigm of the large public firm has had on US lawmakers over time (even though of course this is by no means supposed to mean that policy-makers and academics ignore close firms). </w:t>
      </w:r>
    </w:p>
  </w:footnote>
  <w:footnote w:id="9">
    <w:p w14:paraId="6BEF7E9F" w14:textId="2AD4F96B" w:rsidR="00837B84" w:rsidRPr="00C1598F" w:rsidRDefault="00837B84" w:rsidP="00950738">
      <w:pPr>
        <w:pStyle w:val="FootnoteText"/>
        <w:snapToGrid w:val="0"/>
        <w:ind w:firstLine="567"/>
        <w:jc w:val="both"/>
        <w:rPr>
          <w:lang w:val="en-US"/>
        </w:rPr>
      </w:pPr>
      <w:r w:rsidRPr="00C1598F">
        <w:rPr>
          <w:rStyle w:val="FootnoteReference"/>
          <w:rFonts w:ascii="Times New Roman" w:hAnsi="Times New Roman"/>
          <w:sz w:val="20"/>
        </w:rPr>
        <w:footnoteRef/>
      </w:r>
      <w:r w:rsidRPr="00C1598F">
        <w:rPr>
          <w:lang w:val="en-US"/>
        </w:rPr>
        <w:t xml:space="preserve"> </w:t>
      </w:r>
      <w:r w:rsidRPr="00C1598F">
        <w:rPr>
          <w:rFonts w:eastAsiaTheme="minorHAnsi"/>
          <w:lang w:val="en-US"/>
        </w:rPr>
        <w:t xml:space="preserve">On close firms, see, also for references, Bachmann et al. (2013) and Agstner (2019), p. 505. As to the broad conceptualization of the contract adopted here, see, e.g., Bengtsson (2012), p 486. </w:t>
      </w:r>
      <w:r w:rsidRPr="00C1598F">
        <w:rPr>
          <w:lang w:val="en-US"/>
        </w:rPr>
        <w:t>As to the “control right” versus “residual control” divide, see Tirole (2006) pp 76 and 387-388, and, earlier in time, Grossman &amp; Hart (1986).</w:t>
      </w:r>
    </w:p>
  </w:footnote>
  <w:footnote w:id="10">
    <w:p w14:paraId="5DD99BFC" w14:textId="47714C8C" w:rsidR="00837B84" w:rsidRPr="00C1598F" w:rsidRDefault="00837B84" w:rsidP="00950738">
      <w:pPr>
        <w:pStyle w:val="FootnoteText"/>
        <w:snapToGrid w:val="0"/>
        <w:ind w:firstLine="567"/>
        <w:jc w:val="both"/>
        <w:rPr>
          <w:lang w:val="en-US"/>
        </w:rPr>
      </w:pPr>
      <w:r w:rsidRPr="00C1598F">
        <w:rPr>
          <w:rStyle w:val="FootnoteReference"/>
          <w:rFonts w:ascii="Times New Roman" w:hAnsi="Times New Roman"/>
          <w:sz w:val="20"/>
        </w:rPr>
        <w:footnoteRef/>
      </w:r>
      <w:r w:rsidRPr="00C1598F">
        <w:rPr>
          <w:lang w:val="en-US"/>
        </w:rPr>
        <w:t xml:space="preserve"> Being a function of the restricted number of shareholder, the etiquette does attach – as noted in the text – also to venture capital-backed startups and private equity-backed firms, which, however, feature a financial structure and a governance model that generate a different set of problems. For a general discussion, see, e.g., Maynard &amp; Warren (2014), pp ___-___. For an exemplification, see Nigro &amp; Stahl (2020).</w:t>
      </w:r>
    </w:p>
  </w:footnote>
  <w:footnote w:id="11">
    <w:p w14:paraId="5629268E" w14:textId="098D135D" w:rsidR="00837B84" w:rsidRPr="00C1598F" w:rsidRDefault="00837B84" w:rsidP="002A2261">
      <w:pPr>
        <w:pStyle w:val="FootnoteText"/>
        <w:snapToGrid w:val="0"/>
        <w:ind w:firstLine="567"/>
        <w:jc w:val="both"/>
        <w:rPr>
          <w:lang w:val="en-US"/>
        </w:rPr>
      </w:pPr>
      <w:r w:rsidRPr="00C1598F">
        <w:rPr>
          <w:rStyle w:val="FootnoteReference"/>
          <w:rFonts w:ascii="Times New Roman" w:hAnsi="Times New Roman"/>
          <w:sz w:val="20"/>
        </w:rPr>
        <w:footnoteRef/>
      </w:r>
      <w:r w:rsidRPr="00C1598F">
        <w:rPr>
          <w:lang w:val="en-US"/>
        </w:rPr>
        <w:t xml:space="preserve"> See, also for references, Agstner (2019), p 506, nt 4 and corresponding text.</w:t>
      </w:r>
    </w:p>
  </w:footnote>
  <w:footnote w:id="12">
    <w:p w14:paraId="10C5ACC5" w14:textId="5C8AABE4" w:rsidR="00837B84" w:rsidRPr="00C1598F" w:rsidRDefault="00837B84">
      <w:pPr>
        <w:pStyle w:val="FootnoteText"/>
        <w:snapToGrid w:val="0"/>
        <w:ind w:firstLine="567"/>
        <w:jc w:val="both"/>
        <w:rPr>
          <w:lang w:val="en-US"/>
        </w:rPr>
      </w:pPr>
      <w:r w:rsidRPr="00C1598F">
        <w:rPr>
          <w:rStyle w:val="FootnoteReference"/>
          <w:rFonts w:ascii="Times New Roman" w:hAnsi="Times New Roman"/>
          <w:sz w:val="20"/>
        </w:rPr>
        <w:footnoteRef/>
      </w:r>
      <w:r w:rsidRPr="00C1598F">
        <w:rPr>
          <w:lang w:val="en-US"/>
        </w:rPr>
        <w:t xml:space="preserve"> See, also for references, Rock &amp; Watcher (1999). </w:t>
      </w:r>
    </w:p>
  </w:footnote>
  <w:footnote w:id="13">
    <w:p w14:paraId="169FA270" w14:textId="70015891" w:rsidR="00837B84" w:rsidRPr="00C1598F" w:rsidRDefault="00837B84">
      <w:pPr>
        <w:pStyle w:val="FootnoteText"/>
        <w:snapToGrid w:val="0"/>
        <w:ind w:firstLine="567"/>
        <w:jc w:val="both"/>
        <w:rPr>
          <w:lang w:val="en-US"/>
        </w:rPr>
      </w:pPr>
      <w:r w:rsidRPr="00C1598F">
        <w:rPr>
          <w:rStyle w:val="FootnoteReference"/>
          <w:rFonts w:ascii="Times New Roman" w:hAnsi="Times New Roman"/>
          <w:sz w:val="20"/>
          <w:lang w:val="en-US"/>
        </w:rPr>
        <w:footnoteRef/>
      </w:r>
      <w:r w:rsidRPr="00C1598F">
        <w:rPr>
          <w:lang w:val="en-US"/>
        </w:rPr>
        <w:t xml:space="preserve"> See </w:t>
      </w:r>
      <w:r w:rsidRPr="00C1598F">
        <w:rPr>
          <w:shd w:val="clear" w:color="auto" w:fill="FFFFFF"/>
          <w:lang w:val="en-US"/>
        </w:rPr>
        <w:t>Grossman and Hart (1986), Hart and Moore (1990), and Hart (1995)</w:t>
      </w:r>
      <w:r w:rsidRPr="00C1598F">
        <w:rPr>
          <w:lang w:val="en-US"/>
        </w:rPr>
        <w:t xml:space="preserve">. </w:t>
      </w:r>
    </w:p>
  </w:footnote>
  <w:footnote w:id="14">
    <w:p w14:paraId="0E0DF4E7" w14:textId="6573A5C0" w:rsidR="00837B84" w:rsidRPr="00C1598F" w:rsidRDefault="00837B84" w:rsidP="00100A78">
      <w:pPr>
        <w:pStyle w:val="FootnoteText"/>
        <w:tabs>
          <w:tab w:val="left" w:pos="142"/>
        </w:tabs>
        <w:snapToGrid w:val="0"/>
        <w:ind w:firstLine="567"/>
        <w:jc w:val="both"/>
        <w:rPr>
          <w:lang w:val="en-US"/>
        </w:rPr>
      </w:pPr>
      <w:r w:rsidRPr="00C1598F">
        <w:rPr>
          <w:rStyle w:val="FootnoteReference"/>
          <w:rFonts w:ascii="Times New Roman" w:hAnsi="Times New Roman"/>
          <w:sz w:val="20"/>
          <w:lang w:val="en-US"/>
        </w:rPr>
        <w:footnoteRef/>
      </w:r>
      <w:r w:rsidRPr="00C1598F">
        <w:rPr>
          <w:lang w:val="en-US"/>
        </w:rPr>
        <w:t xml:space="preserve"> See Williamson (1985); Grossman and Hart (1986), pp 691-719; and Hart &amp; Moore (1988), pp 755-785.</w:t>
      </w:r>
      <w:r w:rsidRPr="00C1598F">
        <w:rPr>
          <w:rFonts w:eastAsia="BatangChe"/>
          <w:lang w:val="en-US"/>
        </w:rPr>
        <w:t xml:space="preserve">  </w:t>
      </w:r>
    </w:p>
  </w:footnote>
  <w:footnote w:id="15">
    <w:p w14:paraId="545B5034" w14:textId="2D1C7EDC" w:rsidR="00837B84" w:rsidRPr="00C1598F" w:rsidRDefault="00837B84">
      <w:pPr>
        <w:pStyle w:val="FootnoteText"/>
        <w:snapToGrid w:val="0"/>
        <w:ind w:firstLine="567"/>
        <w:jc w:val="both"/>
      </w:pPr>
      <w:r w:rsidRPr="00C1598F">
        <w:rPr>
          <w:rStyle w:val="FootnoteReference"/>
          <w:rFonts w:ascii="Times New Roman" w:hAnsi="Times New Roman"/>
          <w:sz w:val="20"/>
        </w:rPr>
        <w:footnoteRef/>
      </w:r>
      <w:r w:rsidRPr="00C1598F">
        <w:rPr>
          <w:lang w:val="en-US"/>
        </w:rPr>
        <w:t xml:space="preserve"> See, e.g., Williamson (1985). See also </w:t>
      </w:r>
      <w:r w:rsidRPr="00C1598F">
        <w:rPr>
          <w:rFonts w:eastAsia="BatangChe"/>
          <w:lang w:val="en-US"/>
        </w:rPr>
        <w:t>Klein</w:t>
      </w:r>
      <w:r w:rsidRPr="00C1598F">
        <w:rPr>
          <w:lang w:val="en-US"/>
        </w:rPr>
        <w:t xml:space="preserve"> et al.</w:t>
      </w:r>
      <w:r w:rsidRPr="00C1598F">
        <w:rPr>
          <w:smallCaps/>
          <w:lang w:val="en-US"/>
        </w:rPr>
        <w:t xml:space="preserve"> </w:t>
      </w:r>
      <w:r w:rsidRPr="00C1598F">
        <w:rPr>
          <w:rFonts w:eastAsia="BatangChe"/>
        </w:rPr>
        <w:t xml:space="preserve">(1978), </w:t>
      </w:r>
      <w:r w:rsidRPr="00C1598F">
        <w:t>Grundmann et Al.</w:t>
      </w:r>
      <w:r w:rsidRPr="00C1598F">
        <w:rPr>
          <w:smallCaps/>
        </w:rPr>
        <w:t xml:space="preserve"> (</w:t>
      </w:r>
      <w:r w:rsidRPr="00C1598F">
        <w:t xml:space="preserve">2013), </w:t>
      </w:r>
      <w:r w:rsidRPr="00C1598F">
        <w:rPr>
          <w:rFonts w:eastAsia="BatangChe"/>
        </w:rPr>
        <w:t xml:space="preserve">and </w:t>
      </w:r>
      <w:r w:rsidRPr="00C1598F">
        <w:t>Klausner (2015).</w:t>
      </w:r>
    </w:p>
  </w:footnote>
  <w:footnote w:id="16">
    <w:p w14:paraId="6859954C" w14:textId="1ED35E19" w:rsidR="00837B84" w:rsidRPr="00C1598F" w:rsidRDefault="00837B84">
      <w:pPr>
        <w:pStyle w:val="FootnoteText"/>
        <w:tabs>
          <w:tab w:val="left" w:pos="142"/>
        </w:tabs>
        <w:snapToGrid w:val="0"/>
        <w:ind w:firstLine="567"/>
        <w:jc w:val="both"/>
        <w:rPr>
          <w:lang w:val="en-US"/>
        </w:rPr>
      </w:pPr>
      <w:r w:rsidRPr="00C1598F">
        <w:rPr>
          <w:rStyle w:val="FootnoteReference"/>
          <w:rFonts w:ascii="Times New Roman" w:hAnsi="Times New Roman"/>
          <w:sz w:val="20"/>
          <w:lang w:val="en-US"/>
        </w:rPr>
        <w:footnoteRef/>
      </w:r>
      <w:r w:rsidRPr="00C1598F">
        <w:rPr>
          <w:lang w:val="en-US"/>
        </w:rPr>
        <w:t xml:space="preserve"> Partnerships and joint ventures are also among the available business forms. See, e.g., Farrell &amp; Scotchmer (1988) and Mariti &amp; Smiley (1996). </w:t>
      </w:r>
    </w:p>
  </w:footnote>
  <w:footnote w:id="17">
    <w:p w14:paraId="3F9F3250" w14:textId="5E4E05AE" w:rsidR="00837B84" w:rsidRPr="00C1598F" w:rsidRDefault="00837B84">
      <w:pPr>
        <w:pStyle w:val="FootnoteText"/>
        <w:tabs>
          <w:tab w:val="left" w:pos="142"/>
        </w:tabs>
        <w:snapToGrid w:val="0"/>
        <w:ind w:firstLine="567"/>
        <w:jc w:val="both"/>
        <w:rPr>
          <w:lang w:val="en-US"/>
        </w:rPr>
      </w:pPr>
      <w:r w:rsidRPr="00C1598F">
        <w:rPr>
          <w:rStyle w:val="FootnoteReference"/>
          <w:rFonts w:ascii="Times New Roman" w:hAnsi="Times New Roman"/>
          <w:sz w:val="20"/>
          <w:lang w:val="en-US"/>
        </w:rPr>
        <w:footnoteRef/>
      </w:r>
      <w:r w:rsidRPr="00C1598F">
        <w:rPr>
          <w:lang w:val="en-US"/>
        </w:rPr>
        <w:t xml:space="preserve"> See Rock &amp; Wachter (1999), pp 918-922. </w:t>
      </w:r>
    </w:p>
  </w:footnote>
  <w:footnote w:id="18">
    <w:p w14:paraId="1B4C87ED" w14:textId="5C18028A" w:rsidR="00837B84" w:rsidRPr="00C1598F" w:rsidRDefault="00837B84">
      <w:pPr>
        <w:pStyle w:val="FootnoteText"/>
        <w:snapToGrid w:val="0"/>
        <w:ind w:firstLine="567"/>
        <w:jc w:val="both"/>
        <w:rPr>
          <w:lang w:val="en-US"/>
        </w:rPr>
      </w:pPr>
      <w:r w:rsidRPr="00C1598F">
        <w:rPr>
          <w:rStyle w:val="FootnoteReference"/>
          <w:rFonts w:ascii="Times New Roman" w:hAnsi="Times New Roman"/>
          <w:sz w:val="20"/>
        </w:rPr>
        <w:footnoteRef/>
      </w:r>
      <w:r w:rsidRPr="00C1598F">
        <w:rPr>
          <w:lang w:val="en-US"/>
        </w:rPr>
        <w:t xml:space="preserve"> Absent frictions, contracts are ex ante presumably value maximizing by definition. See, e.g., Easterbrook and Fischel (1989), p 1421.</w:t>
      </w:r>
    </w:p>
  </w:footnote>
  <w:footnote w:id="19">
    <w:p w14:paraId="5DEA4732" w14:textId="47604676" w:rsidR="00837B84" w:rsidRPr="00C1598F" w:rsidRDefault="00837B84">
      <w:pPr>
        <w:pStyle w:val="FootnoteText"/>
        <w:snapToGrid w:val="0"/>
        <w:ind w:firstLine="567"/>
        <w:jc w:val="both"/>
        <w:rPr>
          <w:lang w:val="en-US"/>
        </w:rPr>
      </w:pPr>
      <w:r w:rsidRPr="00C1598F">
        <w:rPr>
          <w:rStyle w:val="FootnoteReference"/>
          <w:rFonts w:ascii="Times New Roman" w:hAnsi="Times New Roman"/>
          <w:sz w:val="20"/>
          <w:lang w:val="en-US"/>
        </w:rPr>
        <w:footnoteRef/>
      </w:r>
      <w:r w:rsidRPr="00C1598F">
        <w:rPr>
          <w:lang w:val="en-US"/>
        </w:rPr>
        <w:t xml:space="preserve"> See, e.g., Bachmann et al. (2013); Wedemann (2013); and, more recently, Agstner (2020). </w:t>
      </w:r>
    </w:p>
  </w:footnote>
  <w:footnote w:id="20">
    <w:p w14:paraId="33141F4F" w14:textId="7E047EEC" w:rsidR="00837B84" w:rsidRPr="00C1598F" w:rsidRDefault="00837B84">
      <w:pPr>
        <w:pStyle w:val="FootnoteText"/>
        <w:snapToGrid w:val="0"/>
        <w:ind w:firstLine="567"/>
        <w:jc w:val="both"/>
        <w:rPr>
          <w:lang w:val="en-US"/>
        </w:rPr>
      </w:pPr>
      <w:r w:rsidRPr="00C1598F">
        <w:rPr>
          <w:rStyle w:val="FootnoteReference"/>
          <w:rFonts w:ascii="Times New Roman" w:hAnsi="Times New Roman"/>
          <w:sz w:val="20"/>
          <w:lang w:val="en-US"/>
        </w:rPr>
        <w:footnoteRef/>
      </w:r>
      <w:r w:rsidRPr="00C1598F">
        <w:rPr>
          <w:lang w:val="en-US"/>
        </w:rPr>
        <w:t xml:space="preserve"> Contract implementation generally obeys the joint value maximization norm. See Schwartz &amp; Scott (2003), p 550 (“sophisticated parties at the negotiation stage prefer to write contracts that maximize total benefits rather than preferring a larger share of a smaller pie”). This implies that decision-making ought therefore to maximize joint value, regardless of how the contract has allocated authority and will allocate the resulting value. The corporate contract is no exception. See Armour et al. (2017a), p 23. This is in line with the corporate finance lesson that intra-firm decision-making ought to be instrumental to the maximization of firm value regardless of how its community of investors will capture the resulting wealth. See, e.g., Damodaran (2010), p 3. Assuming the absence of other constituencies (e.g., creditors or workers), firm value here is joint value, which coincides with the concept of “cooperative surplus”, on which see Cooter &amp; Ulen (2012</w:t>
      </w:r>
      <w:r w:rsidRPr="00C1598F">
        <w:rPr>
          <w:smallCaps/>
          <w:lang w:val="en-US"/>
        </w:rPr>
        <w:t>),</w:t>
      </w:r>
      <w:r w:rsidRPr="00C1598F">
        <w:rPr>
          <w:lang w:val="en-US"/>
        </w:rPr>
        <w:t xml:space="preserve"> p 75. Importantly, the value maximization norm is, however, just a default rule. See Goetz &amp; Scott (1983), p 971, as well as Schwartz (1993), pp 390 and 399. As such, it is amenable to adjustments through contract: see below, Sect. 4.3, nn ___-___ and corresponding text.</w:t>
      </w:r>
    </w:p>
  </w:footnote>
  <w:footnote w:id="21">
    <w:p w14:paraId="737F3895" w14:textId="77777777" w:rsidR="00837B84" w:rsidRPr="00C1598F" w:rsidRDefault="00837B84" w:rsidP="00950738">
      <w:pPr>
        <w:pStyle w:val="FootnoteText"/>
        <w:snapToGrid w:val="0"/>
        <w:ind w:firstLine="567"/>
        <w:jc w:val="both"/>
        <w:rPr>
          <w:lang w:val="en-US"/>
        </w:rPr>
      </w:pPr>
      <w:r w:rsidRPr="00C1598F">
        <w:rPr>
          <w:rStyle w:val="FootnoteReference"/>
          <w:rFonts w:ascii="Times New Roman" w:hAnsi="Times New Roman"/>
          <w:sz w:val="20"/>
        </w:rPr>
        <w:footnoteRef/>
      </w:r>
      <w:r w:rsidRPr="00C1598F">
        <w:rPr>
          <w:lang w:val="en-US"/>
        </w:rPr>
        <w:t xml:space="preserve"> On bonding, see Easterbrook &amp; Fischel (1986), p 274, fn 7 and corresponding text. On reputation, see instead Mahoney (2000), pp 177 and 183 and, in a broader perspective that sheds lights on the sanctions attaching to reputational losses, Skeel (2001).</w:t>
      </w:r>
    </w:p>
  </w:footnote>
  <w:footnote w:id="22">
    <w:p w14:paraId="72AA99E5" w14:textId="77777777" w:rsidR="00837B84" w:rsidRPr="00C1598F" w:rsidRDefault="00837B84" w:rsidP="00950738">
      <w:pPr>
        <w:pStyle w:val="FootnoteText"/>
        <w:ind w:firstLine="567"/>
        <w:jc w:val="both"/>
        <w:rPr>
          <w:lang w:val="en-US"/>
        </w:rPr>
      </w:pPr>
      <w:r w:rsidRPr="00C1598F">
        <w:rPr>
          <w:rStyle w:val="FootnoteReference"/>
          <w:rFonts w:ascii="Times New Roman" w:hAnsi="Times New Roman"/>
          <w:sz w:val="20"/>
        </w:rPr>
        <w:footnoteRef/>
      </w:r>
      <w:r w:rsidRPr="00C1598F">
        <w:rPr>
          <w:lang w:val="en-US"/>
        </w:rPr>
        <w:t xml:space="preserve"> See Nagar et al. (2001), which is one of the very few studies discussing empirically opportunism in close firms – which they evoke by resorting to the broader concept of “governance problems” coming with an uneven allocation of control-rights among majority and minority shareholders – and finding that it does affect firm performance negatively. </w:t>
      </w:r>
    </w:p>
  </w:footnote>
  <w:footnote w:id="23">
    <w:p w14:paraId="15DEEA71" w14:textId="77777777" w:rsidR="00837B84" w:rsidRPr="00C1598F" w:rsidRDefault="00837B84" w:rsidP="00950738">
      <w:pPr>
        <w:pStyle w:val="FootnoteText"/>
        <w:snapToGrid w:val="0"/>
        <w:ind w:firstLine="567"/>
        <w:jc w:val="both"/>
        <w:rPr>
          <w:lang w:val="en-US"/>
        </w:rPr>
      </w:pPr>
      <w:r w:rsidRPr="00C1598F">
        <w:rPr>
          <w:rStyle w:val="FootnoteReference"/>
          <w:rFonts w:ascii="Times New Roman" w:hAnsi="Times New Roman"/>
          <w:sz w:val="20"/>
        </w:rPr>
        <w:footnoteRef/>
      </w:r>
      <w:r w:rsidRPr="00C1598F">
        <w:rPr>
          <w:lang w:val="en-US"/>
        </w:rPr>
        <w:t xml:space="preserve"> For details and references, see ____.</w:t>
      </w:r>
    </w:p>
  </w:footnote>
  <w:footnote w:id="24">
    <w:p w14:paraId="23D4BB75" w14:textId="77777777" w:rsidR="00837B84" w:rsidRPr="00C1598F" w:rsidRDefault="00837B84" w:rsidP="00950738">
      <w:pPr>
        <w:pStyle w:val="FootnoteText"/>
        <w:snapToGrid w:val="0"/>
        <w:ind w:firstLine="567"/>
        <w:jc w:val="both"/>
        <w:rPr>
          <w:lang w:val="en-US"/>
        </w:rPr>
      </w:pPr>
      <w:r w:rsidRPr="00C1598F">
        <w:rPr>
          <w:rStyle w:val="FootnoteReference"/>
          <w:rFonts w:ascii="Times New Roman" w:hAnsi="Times New Roman"/>
          <w:sz w:val="20"/>
          <w:lang w:val="en-US"/>
        </w:rPr>
        <w:footnoteRef/>
      </w:r>
      <w:r w:rsidRPr="00C1598F">
        <w:rPr>
          <w:lang w:val="en-US"/>
        </w:rPr>
        <w:t xml:space="preserve"> The “market” referred to in the text exhibits no institutional structure – in the sense that there is no physical or virtual place specifically organized to facilitate the matching between demand and offer. Nonetheless, this structural deficit notwithstanding, the crossing between demand and offer is enough to portray the existence of a market where financial- and human-capital meet, negotiate, and possibly come to cooperate. </w:t>
      </w:r>
    </w:p>
  </w:footnote>
  <w:footnote w:id="25">
    <w:p w14:paraId="33283924" w14:textId="77777777" w:rsidR="00837B84" w:rsidRPr="00C1598F" w:rsidRDefault="00837B84" w:rsidP="00950738">
      <w:pPr>
        <w:pStyle w:val="FootnoteText"/>
        <w:snapToGrid w:val="0"/>
        <w:ind w:firstLine="567"/>
        <w:jc w:val="both"/>
        <w:rPr>
          <w:color w:val="000000" w:themeColor="text1"/>
          <w:lang w:val="en-US"/>
        </w:rPr>
      </w:pPr>
      <w:r w:rsidRPr="00C1598F">
        <w:rPr>
          <w:rStyle w:val="FootnoteReference"/>
          <w:rFonts w:ascii="Times New Roman" w:hAnsi="Times New Roman"/>
          <w:color w:val="000000" w:themeColor="text1"/>
          <w:sz w:val="20"/>
        </w:rPr>
        <w:footnoteRef/>
      </w:r>
      <w:r w:rsidRPr="00C1598F">
        <w:rPr>
          <w:color w:val="000000" w:themeColor="text1"/>
          <w:lang w:val="en-US"/>
        </w:rPr>
        <w:t xml:space="preserve"> </w:t>
      </w:r>
      <w:r w:rsidRPr="00C1598F">
        <w:rPr>
          <w:bCs/>
          <w:color w:val="000000" w:themeColor="text1"/>
          <w:lang w:val="en-US"/>
        </w:rPr>
        <w:t>For details and references, see ____</w:t>
      </w:r>
      <w:r w:rsidRPr="00C1598F">
        <w:rPr>
          <w:color w:val="000000" w:themeColor="text1"/>
          <w:lang w:val="en-US"/>
        </w:rPr>
        <w:t>.</w:t>
      </w:r>
    </w:p>
  </w:footnote>
  <w:footnote w:id="26">
    <w:p w14:paraId="18BCC395" w14:textId="21E90BE6" w:rsidR="00837B84" w:rsidRPr="00C1598F" w:rsidRDefault="00837B84">
      <w:pPr>
        <w:pStyle w:val="FootnoteText"/>
        <w:snapToGrid w:val="0"/>
        <w:ind w:firstLine="567"/>
        <w:jc w:val="both"/>
        <w:rPr>
          <w:color w:val="000000" w:themeColor="text1"/>
          <w:lang w:val="en-US"/>
        </w:rPr>
      </w:pPr>
      <w:r w:rsidRPr="00C1598F">
        <w:rPr>
          <w:rStyle w:val="FootnoteReference"/>
          <w:rFonts w:ascii="Times New Roman" w:hAnsi="Times New Roman"/>
          <w:color w:val="000000" w:themeColor="text1"/>
          <w:sz w:val="20"/>
        </w:rPr>
        <w:footnoteRef/>
      </w:r>
      <w:r w:rsidRPr="00C1598F">
        <w:rPr>
          <w:color w:val="000000" w:themeColor="text1"/>
          <w:lang w:val="en-US"/>
        </w:rPr>
        <w:t xml:space="preserve"> Shleifer &amp; Vishny (1997), p 737 (describing the basic problem of corporate governance as one that requires that corporate institutions should work to deliver the promised returns). Self-enforcement consists in the “automatic” enforcement of the contract. See</w:t>
      </w:r>
      <w:r w:rsidRPr="00C1598F">
        <w:rPr>
          <w:b/>
          <w:color w:val="000000" w:themeColor="text1"/>
          <w:lang w:val="en-US"/>
        </w:rPr>
        <w:t xml:space="preserve"> </w:t>
      </w:r>
      <w:r w:rsidRPr="00C1598F">
        <w:rPr>
          <w:color w:val="000000" w:themeColor="text1"/>
          <w:lang w:val="en-US"/>
        </w:rPr>
        <w:t>Black &amp; Kraakman (1996)</w:t>
      </w:r>
      <w:r w:rsidRPr="00C1598F">
        <w:rPr>
          <w:bCs/>
          <w:color w:val="000000" w:themeColor="text1"/>
          <w:lang w:val="en-US"/>
        </w:rPr>
        <w:t>. As such, it differs radically from both market-driven and third-party enforcement.</w:t>
      </w:r>
    </w:p>
  </w:footnote>
  <w:footnote w:id="27">
    <w:p w14:paraId="17EBE5CF" w14:textId="59EF4191" w:rsidR="00837B84" w:rsidRPr="00C1598F" w:rsidRDefault="00837B84">
      <w:pPr>
        <w:ind w:firstLine="567"/>
        <w:jc w:val="both"/>
        <w:rPr>
          <w:sz w:val="20"/>
          <w:szCs w:val="20"/>
          <w:lang w:val="en-US"/>
        </w:rPr>
      </w:pPr>
      <w:r w:rsidRPr="00C1598F">
        <w:rPr>
          <w:rStyle w:val="FootnoteReference"/>
          <w:rFonts w:ascii="Times New Roman" w:hAnsi="Times New Roman"/>
          <w:color w:val="000000" w:themeColor="text1"/>
          <w:sz w:val="20"/>
          <w:szCs w:val="20"/>
        </w:rPr>
        <w:footnoteRef/>
      </w:r>
      <w:r w:rsidRPr="00C1598F">
        <w:rPr>
          <w:color w:val="000000" w:themeColor="text1"/>
          <w:sz w:val="20"/>
          <w:szCs w:val="20"/>
          <w:lang w:val="en-US"/>
        </w:rPr>
        <w:t xml:space="preserve"> Both the legal and the finance literature recommend that to solve the problem of opportunism the main shareholder should surrender some control to the minority shareholder, so that he cannot take unilateral actions that may advance his own interest at the expense of the other shareholders. See O’Neal &amp; Thompson (1985), on the one hand; and Bennedsen &amp; Wolfenzon (2000), Gomes &amp; Novaes (2000) and Pagano &amp; Roell (1998), on the other hand.</w:t>
      </w:r>
    </w:p>
  </w:footnote>
  <w:footnote w:id="28">
    <w:p w14:paraId="0485DEA7" w14:textId="23A4C868" w:rsidR="00837B84" w:rsidRPr="00C1598F" w:rsidRDefault="00837B84">
      <w:pPr>
        <w:pStyle w:val="FootnoteText"/>
        <w:ind w:firstLine="567"/>
        <w:jc w:val="both"/>
        <w:rPr>
          <w:lang w:val="en-US"/>
        </w:rPr>
      </w:pPr>
      <w:r w:rsidRPr="00C1598F">
        <w:rPr>
          <w:rStyle w:val="FootnoteReference"/>
          <w:rFonts w:ascii="Times New Roman" w:hAnsi="Times New Roman"/>
          <w:sz w:val="20"/>
        </w:rPr>
        <w:footnoteRef/>
      </w:r>
      <w:r w:rsidRPr="00C1598F">
        <w:rPr>
          <w:lang w:val="en-US"/>
        </w:rPr>
        <w:t xml:space="preserve"> See ___.</w:t>
      </w:r>
    </w:p>
  </w:footnote>
  <w:footnote w:id="29">
    <w:p w14:paraId="23A3B4B3" w14:textId="77777777" w:rsidR="00837B84" w:rsidRPr="00C1598F" w:rsidRDefault="00837B84" w:rsidP="00042F0E">
      <w:pPr>
        <w:pStyle w:val="FootnoteText"/>
        <w:ind w:firstLine="567"/>
        <w:jc w:val="both"/>
        <w:rPr>
          <w:lang w:val="en-US"/>
        </w:rPr>
      </w:pPr>
      <w:r w:rsidRPr="00C1598F">
        <w:rPr>
          <w:rStyle w:val="FootnoteReference"/>
          <w:rFonts w:ascii="Times New Roman" w:hAnsi="Times New Roman"/>
          <w:sz w:val="20"/>
        </w:rPr>
        <w:footnoteRef/>
      </w:r>
      <w:r w:rsidRPr="00C1598F">
        <w:rPr>
          <w:lang w:val="en-US"/>
        </w:rPr>
        <w:t xml:space="preserve"> See again </w:t>
      </w:r>
      <w:r w:rsidRPr="00C1598F">
        <w:rPr>
          <w:color w:val="5B9BD5" w:themeColor="accent1"/>
          <w:lang w:val="en-US"/>
        </w:rPr>
        <w:t xml:space="preserve">Landeo &amp; Spier </w:t>
      </w:r>
      <w:r w:rsidRPr="00C1598F">
        <w:rPr>
          <w:lang w:val="en-US"/>
        </w:rPr>
        <w:t xml:space="preserve">(2014).  </w:t>
      </w:r>
    </w:p>
  </w:footnote>
  <w:footnote w:id="30">
    <w:p w14:paraId="2EF6DB3B" w14:textId="39DF2622" w:rsidR="00837B84" w:rsidRPr="00C1598F" w:rsidRDefault="00837B84">
      <w:pPr>
        <w:pStyle w:val="FootnoteText"/>
        <w:ind w:firstLine="567"/>
        <w:jc w:val="both"/>
        <w:rPr>
          <w:lang w:val="en-US"/>
        </w:rPr>
      </w:pPr>
      <w:r w:rsidRPr="00C1598F">
        <w:rPr>
          <w:rStyle w:val="FootnoteReference"/>
          <w:rFonts w:ascii="Times New Roman" w:hAnsi="Times New Roman"/>
          <w:sz w:val="20"/>
        </w:rPr>
        <w:footnoteRef/>
      </w:r>
      <w:r w:rsidRPr="00C1598F">
        <w:rPr>
          <w:lang w:val="en-GB"/>
        </w:rPr>
        <w:t xml:space="preserve"> In the computing science literature, an operating system is the most important – the vital – software that runs on a computer. A set of processes or threads in an operating system is said to be deadlocked when each process or thread is waiting for the release of a resource withhold in another process that is simultaneously being run in the same operating system, causing its paralysis. </w:t>
      </w:r>
      <w:r w:rsidRPr="00C1598F">
        <w:rPr>
          <w:lang w:val="en-US"/>
        </w:rPr>
        <w:t xml:space="preserve">See </w:t>
      </w:r>
      <w:r w:rsidRPr="00C1598F">
        <w:rPr>
          <w:color w:val="5B9BD5" w:themeColor="accent1"/>
          <w:lang w:val="en-US"/>
        </w:rPr>
        <w:t xml:space="preserve">Zöbel </w:t>
      </w:r>
      <w:r w:rsidRPr="00C1598F">
        <w:rPr>
          <w:lang w:val="en-US"/>
        </w:rPr>
        <w:t>(1983).</w:t>
      </w:r>
      <w:r w:rsidRPr="00C1598F">
        <w:rPr>
          <w:lang w:val="en-GB"/>
        </w:rPr>
        <w:t xml:space="preserve"> To the extent that intra-</w:t>
      </w:r>
      <w:r w:rsidRPr="00C1598F">
        <w:rPr>
          <w:iCs/>
          <w:lang w:val="en-GB"/>
        </w:rPr>
        <w:t xml:space="preserve">firm decision-making can be analogized to an operating system, </w:t>
      </w:r>
      <w:r w:rsidRPr="00C1598F">
        <w:rPr>
          <w:lang w:val="en-GB"/>
        </w:rPr>
        <w:t>each deadlocked shareholder’s consent can be thought of as the essential resource required for the operating system to work effectively, with its lack causing the firm to get deadlocked.</w:t>
      </w:r>
    </w:p>
  </w:footnote>
  <w:footnote w:id="31">
    <w:p w14:paraId="3771AECF" w14:textId="068B2760" w:rsidR="00837B84" w:rsidRPr="00C1598F" w:rsidRDefault="00837B84">
      <w:pPr>
        <w:pStyle w:val="FootnoteText"/>
        <w:snapToGrid w:val="0"/>
        <w:ind w:firstLine="567"/>
        <w:jc w:val="both"/>
        <w:rPr>
          <w:lang w:val="en-US"/>
        </w:rPr>
      </w:pPr>
      <w:r w:rsidRPr="00C1598F">
        <w:rPr>
          <w:rStyle w:val="FootnoteReference"/>
          <w:rFonts w:ascii="Times New Roman" w:hAnsi="Times New Roman"/>
          <w:sz w:val="20"/>
        </w:rPr>
        <w:footnoteRef/>
      </w:r>
      <w:r w:rsidRPr="00C1598F">
        <w:rPr>
          <w:lang w:val="en-US"/>
        </w:rPr>
        <w:t xml:space="preserve"> For details on these dynamics, see Nigro &amp; Stahl (2021), pp ____, nn. ____ and corresponding text.</w:t>
      </w:r>
    </w:p>
  </w:footnote>
  <w:footnote w:id="32">
    <w:p w14:paraId="2FBB135D" w14:textId="526DC86C" w:rsidR="00837B84" w:rsidRPr="00C1598F" w:rsidRDefault="00837B84">
      <w:pPr>
        <w:pStyle w:val="FootnoteText"/>
        <w:snapToGrid w:val="0"/>
        <w:ind w:firstLine="567"/>
        <w:jc w:val="both"/>
        <w:rPr>
          <w:lang w:val="en-US"/>
        </w:rPr>
      </w:pPr>
      <w:r w:rsidRPr="00C1598F">
        <w:rPr>
          <w:rStyle w:val="FootnoteReference"/>
          <w:rFonts w:ascii="Times New Roman" w:hAnsi="Times New Roman"/>
          <w:sz w:val="20"/>
        </w:rPr>
        <w:footnoteRef/>
      </w:r>
      <w:r w:rsidRPr="00C1598F">
        <w:rPr>
          <w:lang w:val="en-US"/>
        </w:rPr>
        <w:t xml:space="preserve"> Value destruction would obviously be even greater in magnitude if for any reason the firm’s assets were to be sold at a discount. </w:t>
      </w:r>
    </w:p>
  </w:footnote>
  <w:footnote w:id="33">
    <w:p w14:paraId="0416D844" w14:textId="6511A0B9" w:rsidR="00837B84" w:rsidRPr="00C1598F" w:rsidRDefault="00837B84">
      <w:pPr>
        <w:snapToGrid w:val="0"/>
        <w:ind w:firstLine="567"/>
        <w:jc w:val="both"/>
        <w:rPr>
          <w:sz w:val="20"/>
          <w:szCs w:val="20"/>
          <w:lang w:val="en-US"/>
        </w:rPr>
      </w:pPr>
      <w:r w:rsidRPr="00C1598F">
        <w:rPr>
          <w:rStyle w:val="FootnoteReference"/>
          <w:rFonts w:ascii="Times New Roman" w:hAnsi="Times New Roman"/>
          <w:sz w:val="20"/>
          <w:szCs w:val="20"/>
          <w:lang w:val="en-US"/>
        </w:rPr>
        <w:footnoteRef/>
      </w:r>
      <w:r w:rsidRPr="00C1598F">
        <w:rPr>
          <w:sz w:val="20"/>
          <w:szCs w:val="20"/>
          <w:lang w:val="en-US"/>
        </w:rPr>
        <w:t xml:space="preserve">  Productive efficiency requires a firm of </w:t>
      </w:r>
      <w:r w:rsidRPr="00C1598F">
        <w:rPr>
          <w:sz w:val="20"/>
          <w:szCs w:val="20"/>
          <w:shd w:val="clear" w:color="auto" w:fill="FFFFFF"/>
          <w:lang w:val="en-US"/>
        </w:rPr>
        <w:t xml:space="preserve">operating at maximum capacity, with assets being currently so that under the current management policy no additional value can be produced. </w:t>
      </w:r>
    </w:p>
  </w:footnote>
  <w:footnote w:id="34">
    <w:p w14:paraId="1F05ED80" w14:textId="523CC9CB" w:rsidR="00837B84" w:rsidRPr="00C1598F" w:rsidRDefault="00837B84">
      <w:pPr>
        <w:snapToGrid w:val="0"/>
        <w:ind w:firstLine="567"/>
        <w:jc w:val="both"/>
        <w:rPr>
          <w:sz w:val="20"/>
          <w:szCs w:val="20"/>
          <w:lang w:val="en-US"/>
        </w:rPr>
      </w:pPr>
      <w:r w:rsidRPr="00C1598F">
        <w:rPr>
          <w:rStyle w:val="FootnoteReference"/>
          <w:rFonts w:ascii="Times New Roman" w:hAnsi="Times New Roman"/>
          <w:sz w:val="20"/>
          <w:szCs w:val="20"/>
          <w:lang w:val="en-US"/>
        </w:rPr>
        <w:footnoteRef/>
      </w:r>
      <w:r w:rsidRPr="00C1598F">
        <w:rPr>
          <w:sz w:val="20"/>
          <w:szCs w:val="20"/>
          <w:lang w:val="en-US"/>
        </w:rPr>
        <w:t xml:space="preserve">  On the reasons why reconciliation may be precluded (even when it would pave the way to value-increasing decisions), s</w:t>
      </w:r>
      <w:r w:rsidRPr="00C1598F">
        <w:rPr>
          <w:sz w:val="20"/>
          <w:szCs w:val="20"/>
          <w:shd w:val="clear" w:color="auto" w:fill="FFFFFF"/>
          <w:lang w:val="en-US"/>
        </w:rPr>
        <w:t xml:space="preserve">ee below, ntt. ___-___ and corresponding text. </w:t>
      </w:r>
    </w:p>
  </w:footnote>
  <w:footnote w:id="35">
    <w:p w14:paraId="0751E695" w14:textId="6766CC6A" w:rsidR="00837B84" w:rsidRPr="00C1598F" w:rsidRDefault="00837B84" w:rsidP="00950738">
      <w:pPr>
        <w:pStyle w:val="FootnoteText"/>
        <w:snapToGrid w:val="0"/>
        <w:ind w:firstLine="567"/>
        <w:jc w:val="both"/>
        <w:rPr>
          <w:lang w:val="en-US"/>
        </w:rPr>
      </w:pPr>
      <w:r w:rsidRPr="00C1598F">
        <w:rPr>
          <w:rStyle w:val="FootnoteReference"/>
          <w:rFonts w:ascii="Times New Roman" w:hAnsi="Times New Roman"/>
          <w:sz w:val="20"/>
        </w:rPr>
        <w:footnoteRef/>
      </w:r>
      <w:r w:rsidRPr="00C1598F">
        <w:rPr>
          <w:lang w:val="en-US"/>
        </w:rPr>
        <w:t xml:space="preserve"> A “plain-vanilla” financial structure exists when shareholdings and, more broadly speaking, the firm’s financial structure are designed in such that the shareholders are entitled only to a given fraction of the residual, so that both shareholders are on an equal footing as to firm value allocation. Other arrangements are also possible and all but uncommon. For instance, in private equity- and venture capital-backed firms, the venture capitalist’s shareholding often incorporate so-called “liquidation preferences” and firm value is accordingly allocated unevenly. These arrangements may be occasionally observable “normal” close firms, too. Shareholders for instance often finance the firm through debt capital, which functionally speaking – and for the purposes of the discussion articulated herein – does not differ from the liquidation preferences that in private equity- and venture capital-backed firms typically receive. The discussion articulated herein does not consider this scenario. </w:t>
      </w:r>
    </w:p>
  </w:footnote>
  <w:footnote w:id="36">
    <w:p w14:paraId="6C079A2C" w14:textId="77777777" w:rsidR="00837B84" w:rsidRPr="00C1598F" w:rsidRDefault="00837B84" w:rsidP="00950738">
      <w:pPr>
        <w:pStyle w:val="FootnoteText"/>
        <w:ind w:firstLine="567"/>
        <w:jc w:val="both"/>
        <w:rPr>
          <w:lang w:val="en-US"/>
        </w:rPr>
      </w:pPr>
      <w:r w:rsidRPr="00C1598F">
        <w:rPr>
          <w:rStyle w:val="FootnoteReference"/>
          <w:rFonts w:ascii="Times New Roman" w:hAnsi="Times New Roman"/>
          <w:sz w:val="20"/>
        </w:rPr>
        <w:footnoteRef/>
      </w:r>
      <w:r w:rsidRPr="00C1598F">
        <w:rPr>
          <w:lang w:val="en-US"/>
        </w:rPr>
        <w:t xml:space="preserve"> See Landeo &amp; Spier (2014).</w:t>
      </w:r>
    </w:p>
  </w:footnote>
  <w:footnote w:id="37">
    <w:p w14:paraId="7AB28517" w14:textId="77777777" w:rsidR="00837B84" w:rsidRPr="00C1598F" w:rsidRDefault="00837B84" w:rsidP="00950738">
      <w:pPr>
        <w:pStyle w:val="FootnoteText"/>
        <w:ind w:firstLine="567"/>
        <w:jc w:val="both"/>
        <w:rPr>
          <w:lang w:val="en-US"/>
        </w:rPr>
      </w:pPr>
      <w:r w:rsidRPr="00C1598F">
        <w:rPr>
          <w:rStyle w:val="FootnoteReference"/>
          <w:rFonts w:ascii="Times New Roman" w:hAnsi="Times New Roman"/>
          <w:sz w:val="20"/>
        </w:rPr>
        <w:footnoteRef/>
      </w:r>
      <w:r w:rsidRPr="00C1598F">
        <w:rPr>
          <w:lang w:val="en-US"/>
        </w:rPr>
        <w:t xml:space="preserve"> </w:t>
      </w:r>
      <w:r w:rsidRPr="00C1598F">
        <w:rPr>
          <w:lang w:val="en-GB"/>
        </w:rPr>
        <w:t>Real business life is replete with examples of such dynamics.</w:t>
      </w:r>
      <w:r w:rsidRPr="00C1598F">
        <w:rPr>
          <w:lang w:val="en-US"/>
        </w:rPr>
        <w:t xml:space="preserve"> See, for instance, ____. </w:t>
      </w:r>
    </w:p>
  </w:footnote>
  <w:footnote w:id="38">
    <w:p w14:paraId="2DA8ADFB" w14:textId="77777777" w:rsidR="00837B84" w:rsidRPr="00C1598F" w:rsidRDefault="00837B84" w:rsidP="00950738">
      <w:pPr>
        <w:pStyle w:val="FootnoteText"/>
        <w:snapToGrid w:val="0"/>
        <w:ind w:firstLine="567"/>
        <w:jc w:val="both"/>
        <w:rPr>
          <w:lang w:val="en-US"/>
        </w:rPr>
      </w:pPr>
      <w:r w:rsidRPr="00C1598F">
        <w:rPr>
          <w:rStyle w:val="FootnoteReference"/>
          <w:rFonts w:ascii="Times New Roman" w:hAnsi="Times New Roman"/>
          <w:sz w:val="20"/>
        </w:rPr>
        <w:footnoteRef/>
      </w:r>
      <w:r w:rsidRPr="00C1598F">
        <w:rPr>
          <w:lang w:val="en-US"/>
        </w:rPr>
        <w:t xml:space="preserve"> See Hirschmann (1970) – which if often invoked to account for intra-firm dynamics also as regards close firms. See, e.g., ____. </w:t>
      </w:r>
    </w:p>
  </w:footnote>
  <w:footnote w:id="39">
    <w:p w14:paraId="3B273BF1" w14:textId="1B213BBA" w:rsidR="00837B84" w:rsidRPr="00C1598F" w:rsidRDefault="00837B84" w:rsidP="00950738">
      <w:pPr>
        <w:pStyle w:val="FootnoteText"/>
        <w:snapToGrid w:val="0"/>
        <w:ind w:firstLine="567"/>
        <w:jc w:val="both"/>
        <w:rPr>
          <w:lang w:val="en-US"/>
        </w:rPr>
      </w:pPr>
      <w:r w:rsidRPr="00C1598F">
        <w:rPr>
          <w:rStyle w:val="FootnoteReference"/>
          <w:rFonts w:ascii="Times New Roman" w:hAnsi="Times New Roman"/>
          <w:sz w:val="20"/>
        </w:rPr>
        <w:footnoteRef/>
      </w:r>
      <w:r w:rsidRPr="00C1598F">
        <w:rPr>
          <w:lang w:val="en-US"/>
        </w:rPr>
        <w:t xml:space="preserve"> Recall the twofold assumption that </w:t>
      </w:r>
      <w:r w:rsidRPr="00C1598F">
        <w:rPr>
          <w:lang w:val="en-GB"/>
        </w:rPr>
        <w:t>the dissolution of the deadlocked firm would be inefficient and the firm sale may be in practice practically undoable or as inefficient as firm dissolution.</w:t>
      </w:r>
      <w:r w:rsidRPr="00C1598F">
        <w:rPr>
          <w:lang w:val="en-US"/>
        </w:rPr>
        <w:t xml:space="preserve"> See above, n. ___ and corresponding text.</w:t>
      </w:r>
    </w:p>
  </w:footnote>
  <w:footnote w:id="40">
    <w:p w14:paraId="2940DCE1" w14:textId="58C3916B" w:rsidR="00837B84" w:rsidRPr="00C1598F" w:rsidRDefault="00837B84" w:rsidP="00D7506C">
      <w:pPr>
        <w:pStyle w:val="FootnoteText"/>
        <w:ind w:firstLine="567"/>
        <w:rPr>
          <w:lang w:val="it-IT"/>
        </w:rPr>
      </w:pPr>
      <w:r w:rsidRPr="00C1598F">
        <w:rPr>
          <w:rStyle w:val="FootnoteReference"/>
          <w:rFonts w:ascii="Times New Roman" w:hAnsi="Times New Roman"/>
          <w:sz w:val="20"/>
        </w:rPr>
        <w:footnoteRef/>
      </w:r>
      <w:r w:rsidRPr="00C1598F">
        <w:t xml:space="preserve"> </w:t>
      </w:r>
      <w:r w:rsidRPr="00C1598F">
        <w:rPr>
          <w:lang w:val="en-US"/>
        </w:rPr>
        <w:t>See Landeo &amp; Spier (2014), p. ____.</w:t>
      </w:r>
    </w:p>
  </w:footnote>
  <w:footnote w:id="41">
    <w:p w14:paraId="6B336A82" w14:textId="24E4D24A" w:rsidR="00837B84" w:rsidRPr="00C1598F" w:rsidRDefault="00837B84" w:rsidP="00950738">
      <w:pPr>
        <w:pStyle w:val="FootnoteText"/>
        <w:snapToGrid w:val="0"/>
        <w:ind w:firstLine="567"/>
        <w:jc w:val="both"/>
        <w:rPr>
          <w:lang w:val="en-US"/>
        </w:rPr>
      </w:pPr>
      <w:r w:rsidRPr="00C1598F">
        <w:rPr>
          <w:rStyle w:val="FootnoteReference"/>
          <w:rFonts w:ascii="Times New Roman" w:hAnsi="Times New Roman"/>
          <w:sz w:val="20"/>
        </w:rPr>
        <w:footnoteRef/>
      </w:r>
      <w:r w:rsidRPr="00C1598F">
        <w:rPr>
          <w:lang w:val="en-US"/>
        </w:rPr>
        <w:t xml:space="preserve"> </w:t>
      </w:r>
      <w:r w:rsidRPr="00C1598F">
        <w:rPr>
          <w:lang w:val="en-GB"/>
        </w:rPr>
        <w:t xml:space="preserve">For the sake of accuracy: the deadlocked shareholder who secures full control can never appropriate post-deadlock firm value </w:t>
      </w:r>
      <w:r w:rsidRPr="00C1598F">
        <w:rPr>
          <w:i/>
          <w:lang w:val="en-GB"/>
        </w:rPr>
        <w:t>in its entirety</w:t>
      </w:r>
      <w:r w:rsidRPr="00C1598F">
        <w:rPr>
          <w:lang w:val="en-GB"/>
        </w:rPr>
        <w:t xml:space="preserve">. At best, he can appropriate most of post-deadlock firm value. The reason for this is simple and goes back to the very fundamental logic of any voluntary exchange, which occurs to the extent, and only to the extent, that it improves the current payoff of the contracting parties. Capturing the post-deadlock firm value requires buying the other deadlocked shareholder’s shareholding, which in turn implies allowing him to capture a given fraction of the increase in value resulting from overcoming the deadlock. </w:t>
      </w:r>
      <w:r w:rsidRPr="00C1598F">
        <w:rPr>
          <w:lang w:val="en-US"/>
        </w:rPr>
        <w:t>In theory, this bribe can be infinitesimal in magnitude, but no voluntary transaction could go through without it.</w:t>
      </w:r>
    </w:p>
  </w:footnote>
  <w:footnote w:id="42">
    <w:p w14:paraId="2B523F92" w14:textId="77777777" w:rsidR="00837B84" w:rsidRPr="00C1598F" w:rsidRDefault="00837B84" w:rsidP="000A00C1">
      <w:pPr>
        <w:pStyle w:val="FootnoteText"/>
        <w:ind w:firstLine="567"/>
        <w:jc w:val="both"/>
        <w:rPr>
          <w:lang w:val="it-IT"/>
        </w:rPr>
      </w:pPr>
      <w:r w:rsidRPr="00C1598F">
        <w:rPr>
          <w:rStyle w:val="FootnoteReference"/>
          <w:rFonts w:ascii="Times New Roman" w:hAnsi="Times New Roman"/>
          <w:sz w:val="20"/>
        </w:rPr>
        <w:footnoteRef/>
      </w:r>
      <w:r w:rsidRPr="00C1598F">
        <w:t xml:space="preserve"> </w:t>
      </w:r>
      <w:r w:rsidRPr="00C1598F">
        <w:rPr>
          <w:lang w:val="it-IT"/>
        </w:rPr>
        <w:t>Note that price is the main, but certainly not the only, proxy, for defining how value flows from one party to the other. See ____.</w:t>
      </w:r>
    </w:p>
  </w:footnote>
  <w:footnote w:id="43">
    <w:p w14:paraId="0D5D9D35" w14:textId="77777777" w:rsidR="00837B84" w:rsidRPr="00C1598F" w:rsidRDefault="00837B84" w:rsidP="000A00C1">
      <w:pPr>
        <w:pStyle w:val="FootnoteText"/>
        <w:snapToGrid w:val="0"/>
        <w:ind w:firstLine="567"/>
        <w:jc w:val="both"/>
        <w:rPr>
          <w:lang w:val="en-US"/>
        </w:rPr>
      </w:pPr>
      <w:r w:rsidRPr="00C1598F">
        <w:rPr>
          <w:rStyle w:val="FootnoteReference"/>
          <w:rFonts w:ascii="Times New Roman" w:hAnsi="Times New Roman"/>
          <w:sz w:val="20"/>
        </w:rPr>
        <w:footnoteRef/>
      </w:r>
      <w:r w:rsidRPr="00C1598F">
        <w:rPr>
          <w:lang w:val="en-US"/>
        </w:rPr>
        <w:t xml:space="preserve"> See ___. </w:t>
      </w:r>
    </w:p>
  </w:footnote>
  <w:footnote w:id="44">
    <w:p w14:paraId="5B64B393" w14:textId="77777777" w:rsidR="00837B84" w:rsidRPr="00C1598F" w:rsidRDefault="00837B84" w:rsidP="000A00C1">
      <w:pPr>
        <w:pStyle w:val="FootnoteText"/>
        <w:ind w:firstLine="567"/>
        <w:jc w:val="both"/>
        <w:rPr>
          <w:lang w:val="en-US"/>
        </w:rPr>
      </w:pPr>
      <w:r w:rsidRPr="00C1598F">
        <w:rPr>
          <w:rStyle w:val="FootnoteReference"/>
          <w:rFonts w:ascii="Times New Roman" w:hAnsi="Times New Roman"/>
          <w:sz w:val="20"/>
        </w:rPr>
        <w:footnoteRef/>
      </w:r>
      <w:r w:rsidRPr="00C1598F">
        <w:rPr>
          <w:lang w:val="en-US"/>
        </w:rPr>
        <w:t xml:space="preserve"> </w:t>
      </w:r>
      <w:r w:rsidRPr="00C1598F">
        <w:rPr>
          <w:lang w:val="en-GB"/>
        </w:rPr>
        <w:t xml:space="preserve">For instance, either deadlocked shareholder may in fact fear that the appraisal procedure carried out by the court would not consider or properly weigh in one or more of those components of value that in close firm play a non-negligible role. </w:t>
      </w:r>
      <w:r w:rsidRPr="00C1598F">
        <w:rPr>
          <w:lang w:val="en-US"/>
        </w:rPr>
        <w:t>See Landeo &amp; Spier (2014).</w:t>
      </w:r>
    </w:p>
  </w:footnote>
  <w:footnote w:id="45">
    <w:p w14:paraId="3F5EBC7B" w14:textId="77777777" w:rsidR="00837B84" w:rsidRPr="00C1598F" w:rsidRDefault="00837B84" w:rsidP="00654A1A">
      <w:pPr>
        <w:pStyle w:val="FootnoteText"/>
        <w:ind w:firstLine="567"/>
        <w:jc w:val="both"/>
        <w:rPr>
          <w:lang w:val="en-US"/>
        </w:rPr>
      </w:pPr>
      <w:r w:rsidRPr="00C1598F">
        <w:rPr>
          <w:rStyle w:val="FootnoteReference"/>
          <w:rFonts w:ascii="Times New Roman" w:hAnsi="Times New Roman"/>
          <w:sz w:val="20"/>
        </w:rPr>
        <w:footnoteRef/>
      </w:r>
      <w:r w:rsidRPr="00C1598F">
        <w:rPr>
          <w:lang w:val="en-US"/>
        </w:rPr>
        <w:t xml:space="preserve"> </w:t>
      </w:r>
      <w:r w:rsidRPr="00C1598F">
        <w:rPr>
          <w:i/>
          <w:iCs/>
          <w:lang w:val="en-US"/>
        </w:rPr>
        <w:t>Id</w:t>
      </w:r>
      <w:r w:rsidRPr="00C1598F">
        <w:rPr>
          <w:lang w:val="en-US"/>
        </w:rPr>
        <w:t>.</w:t>
      </w:r>
    </w:p>
  </w:footnote>
  <w:footnote w:id="46">
    <w:p w14:paraId="6E5466FE" w14:textId="0923B936" w:rsidR="00837B84" w:rsidRPr="00C1598F" w:rsidRDefault="00837B84" w:rsidP="00C1598F">
      <w:pPr>
        <w:pStyle w:val="FootnoteText"/>
        <w:ind w:firstLine="567"/>
        <w:rPr>
          <w:lang w:val="it-IT"/>
        </w:rPr>
      </w:pPr>
      <w:r w:rsidRPr="00C1598F">
        <w:rPr>
          <w:rStyle w:val="FootnoteReference"/>
          <w:rFonts w:ascii="Times New Roman" w:hAnsi="Times New Roman"/>
          <w:sz w:val="20"/>
        </w:rPr>
        <w:footnoteRef/>
      </w:r>
      <w:r w:rsidRPr="00C1598F">
        <w:t xml:space="preserve"> </w:t>
      </w:r>
      <w:r w:rsidRPr="00C1598F">
        <w:rPr>
          <w:lang w:val="it-IT"/>
        </w:rPr>
        <w:t>See above, § 2.2, n. ___ and correspoding text.</w:t>
      </w:r>
    </w:p>
  </w:footnote>
  <w:footnote w:id="47">
    <w:p w14:paraId="44669105" w14:textId="2933548C" w:rsidR="00837B84" w:rsidRPr="00C1598F" w:rsidRDefault="00837B84">
      <w:pPr>
        <w:pStyle w:val="FootnoteText"/>
        <w:snapToGrid w:val="0"/>
        <w:ind w:firstLine="567"/>
        <w:jc w:val="both"/>
        <w:rPr>
          <w:lang w:val="en-US"/>
        </w:rPr>
      </w:pPr>
      <w:r w:rsidRPr="00C1598F">
        <w:rPr>
          <w:vertAlign w:val="superscript"/>
          <w:lang w:val="en-US"/>
        </w:rPr>
        <w:footnoteRef/>
      </w:r>
      <w:r w:rsidRPr="00C1598F">
        <w:rPr>
          <w:lang w:val="en-US"/>
        </w:rPr>
        <w:t xml:space="preserve"> A ZoPA can be either “negative” or “positive”. A negative ZoPA implies that there is no room for bargaining. A positive ZoPA implies instead that there is room for bargaining. </w:t>
      </w:r>
    </w:p>
  </w:footnote>
  <w:footnote w:id="48">
    <w:p w14:paraId="26E9628D" w14:textId="77777777" w:rsidR="00837B84" w:rsidRPr="00C1598F" w:rsidRDefault="00837B84">
      <w:pPr>
        <w:pStyle w:val="FootnoteText"/>
        <w:ind w:firstLine="567"/>
        <w:rPr>
          <w:lang w:val="en-US"/>
        </w:rPr>
      </w:pPr>
      <w:r w:rsidRPr="00C1598F">
        <w:rPr>
          <w:rStyle w:val="FootnoteReference"/>
          <w:rFonts w:ascii="Times New Roman" w:hAnsi="Times New Roman"/>
          <w:sz w:val="20"/>
        </w:rPr>
        <w:footnoteRef/>
      </w:r>
      <w:r w:rsidRPr="00C1598F">
        <w:rPr>
          <w:lang w:val="en-US"/>
        </w:rPr>
        <w:t xml:space="preserve"> See above, n ___.</w:t>
      </w:r>
    </w:p>
  </w:footnote>
  <w:footnote w:id="49">
    <w:p w14:paraId="62767AD6" w14:textId="77777777" w:rsidR="00837B84" w:rsidRPr="00C1598F" w:rsidRDefault="00837B84">
      <w:pPr>
        <w:pStyle w:val="FootnoteText"/>
        <w:ind w:firstLine="567"/>
        <w:rPr>
          <w:lang w:val="en-US"/>
        </w:rPr>
      </w:pPr>
      <w:r w:rsidRPr="00C1598F">
        <w:rPr>
          <w:rStyle w:val="FootnoteReference"/>
          <w:rFonts w:ascii="Times New Roman" w:hAnsi="Times New Roman"/>
          <w:sz w:val="20"/>
        </w:rPr>
        <w:footnoteRef/>
      </w:r>
      <w:r w:rsidRPr="00C1598F">
        <w:rPr>
          <w:lang w:val="en-US"/>
        </w:rPr>
        <w:t xml:space="preserve"> See above, n ___.</w:t>
      </w:r>
    </w:p>
  </w:footnote>
  <w:footnote w:id="50">
    <w:p w14:paraId="5E83A23F" w14:textId="16DE572E" w:rsidR="00837B84" w:rsidRPr="00C1598F" w:rsidRDefault="00837B84" w:rsidP="00E33408">
      <w:pPr>
        <w:snapToGrid w:val="0"/>
        <w:ind w:firstLine="567"/>
        <w:jc w:val="both"/>
        <w:rPr>
          <w:sz w:val="20"/>
          <w:szCs w:val="20"/>
          <w:lang w:val="en-US"/>
        </w:rPr>
      </w:pPr>
      <w:r w:rsidRPr="00C1598F">
        <w:rPr>
          <w:rStyle w:val="FootnoteReference"/>
          <w:rFonts w:ascii="Times New Roman" w:hAnsi="Times New Roman"/>
          <w:sz w:val="20"/>
          <w:szCs w:val="20"/>
        </w:rPr>
        <w:footnoteRef/>
      </w:r>
      <w:r w:rsidRPr="00C1598F">
        <w:rPr>
          <w:sz w:val="20"/>
          <w:szCs w:val="20"/>
          <w:lang w:val="en-US"/>
        </w:rPr>
        <w:t xml:space="preserve"> Absent transaction costs, the initial allocation of property rights is unimportant, for bargaining will result in the allocation of assets to their highest value use through. See Coase (1960).</w:t>
      </w:r>
    </w:p>
  </w:footnote>
  <w:footnote w:id="51">
    <w:p w14:paraId="6525AD13" w14:textId="308B9909" w:rsidR="00837B84" w:rsidRPr="00C1598F" w:rsidRDefault="00837B84">
      <w:pPr>
        <w:pStyle w:val="FootnoteText"/>
        <w:snapToGrid w:val="0"/>
        <w:ind w:firstLine="567"/>
        <w:jc w:val="both"/>
        <w:rPr>
          <w:lang w:val="en-US"/>
        </w:rPr>
      </w:pPr>
      <w:r w:rsidRPr="00C1598F">
        <w:rPr>
          <w:vertAlign w:val="superscript"/>
          <w:lang w:val="en-US"/>
        </w:rPr>
        <w:footnoteRef/>
      </w:r>
      <w:r w:rsidRPr="00C1598F">
        <w:rPr>
          <w:lang w:val="en-US"/>
        </w:rPr>
        <w:t xml:space="preserve"> Here again, see above, n ____.</w:t>
      </w:r>
    </w:p>
  </w:footnote>
  <w:footnote w:id="52">
    <w:p w14:paraId="7EB73E68" w14:textId="6C3FBEF6" w:rsidR="00837B84" w:rsidRPr="00C1598F" w:rsidRDefault="00837B84">
      <w:pPr>
        <w:pStyle w:val="FootnoteText"/>
        <w:snapToGrid w:val="0"/>
        <w:ind w:firstLine="567"/>
        <w:jc w:val="both"/>
        <w:rPr>
          <w:lang w:val="en-US"/>
        </w:rPr>
      </w:pPr>
      <w:r w:rsidRPr="00C1598F">
        <w:rPr>
          <w:rStyle w:val="FootnoteReference"/>
          <w:rFonts w:ascii="Times New Roman" w:hAnsi="Times New Roman"/>
          <w:sz w:val="20"/>
        </w:rPr>
        <w:footnoteRef/>
      </w:r>
      <w:r w:rsidRPr="00C1598F">
        <w:rPr>
          <w:lang w:val="en-US"/>
        </w:rPr>
        <w:t xml:space="preserve"> </w:t>
      </w:r>
      <w:r w:rsidRPr="00C1598F">
        <w:rPr>
          <w:lang w:val="en-GB"/>
        </w:rPr>
        <w:t>That is, “</w:t>
      </w:r>
      <w:r w:rsidRPr="00C1598F">
        <w:rPr>
          <w:lang w:val="en-US"/>
        </w:rPr>
        <w:t>the range of potential bargaining outcomes is broad</w:t>
      </w:r>
      <w:r w:rsidRPr="00C1598F">
        <w:rPr>
          <w:lang w:val="en-GB"/>
        </w:rPr>
        <w:t xml:space="preserve">”. See </w:t>
      </w:r>
      <w:r w:rsidRPr="00C1598F">
        <w:rPr>
          <w:lang w:val="en-US"/>
        </w:rPr>
        <w:t xml:space="preserve">Landeo &amp; Spier (2014), p 159, fn 169 and corresponding text. </w:t>
      </w:r>
    </w:p>
  </w:footnote>
  <w:footnote w:id="53">
    <w:p w14:paraId="136A42D5" w14:textId="77777777" w:rsidR="00837B84" w:rsidRPr="00C1598F" w:rsidRDefault="00837B84" w:rsidP="007915CD">
      <w:pPr>
        <w:pStyle w:val="FootnoteText"/>
        <w:ind w:firstLine="567"/>
        <w:jc w:val="both"/>
        <w:rPr>
          <w:lang w:val="en-US"/>
        </w:rPr>
      </w:pPr>
      <w:r w:rsidRPr="00C1598F">
        <w:rPr>
          <w:rStyle w:val="FootnoteReference"/>
          <w:rFonts w:ascii="Times New Roman" w:hAnsi="Times New Roman"/>
          <w:sz w:val="20"/>
          <w:lang w:val="en-US"/>
        </w:rPr>
        <w:footnoteRef/>
      </w:r>
      <w:r w:rsidRPr="00C1598F">
        <w:rPr>
          <w:lang w:val="en-US"/>
        </w:rPr>
        <w:t xml:space="preserve"> See Brooks et al. (2010), p 650, nt 7 and corresponding text.</w:t>
      </w:r>
    </w:p>
  </w:footnote>
  <w:footnote w:id="54">
    <w:p w14:paraId="594A9838" w14:textId="062FDF6D" w:rsidR="00837B84" w:rsidRPr="00C1598F" w:rsidRDefault="00837B84">
      <w:pPr>
        <w:pStyle w:val="FootnoteText"/>
        <w:snapToGrid w:val="0"/>
        <w:ind w:firstLine="567"/>
        <w:jc w:val="both"/>
        <w:rPr>
          <w:lang w:val="en-US"/>
        </w:rPr>
      </w:pPr>
      <w:r w:rsidRPr="00C1598F">
        <w:rPr>
          <w:rStyle w:val="FootnoteReference"/>
          <w:rFonts w:ascii="Times New Roman" w:hAnsi="Times New Roman"/>
          <w:sz w:val="20"/>
        </w:rPr>
        <w:footnoteRef/>
      </w:r>
      <w:r w:rsidRPr="00C1598F">
        <w:rPr>
          <w:lang w:val="en-US"/>
        </w:rPr>
        <w:t xml:space="preserve"> This example builds, with some adaptations, on Landeo &amp; Spier (2014).</w:t>
      </w:r>
    </w:p>
  </w:footnote>
  <w:footnote w:id="55">
    <w:p w14:paraId="71E9B746" w14:textId="7098DAEC" w:rsidR="00837B84" w:rsidRPr="00C1598F" w:rsidRDefault="00837B84" w:rsidP="00876790">
      <w:pPr>
        <w:pStyle w:val="FootnoteText"/>
        <w:ind w:firstLine="567"/>
        <w:jc w:val="both"/>
        <w:rPr>
          <w:lang w:val="en-US"/>
        </w:rPr>
      </w:pPr>
      <w:r w:rsidRPr="00C1598F">
        <w:rPr>
          <w:rStyle w:val="FootnoteReference"/>
          <w:rFonts w:ascii="Times New Roman" w:hAnsi="Times New Roman"/>
          <w:sz w:val="20"/>
        </w:rPr>
        <w:footnoteRef/>
      </w:r>
      <w:r w:rsidRPr="00C1598F">
        <w:rPr>
          <w:lang w:val="en-US"/>
        </w:rPr>
        <w:t xml:space="preserve"> </w:t>
      </w:r>
      <w:r w:rsidRPr="00C1598F">
        <w:rPr>
          <w:lang w:val="en-GB"/>
        </w:rPr>
        <w:t xml:space="preserve">More straightforwardly: extemporary negotiations can lead to unfair buyouts. In any event, unfairness does intuitively encounter two obvious “structural” limits: the lowest price at which the either deadlocked shareholder would sell and the highest price at which either deadlocked shareholder would buy. Accordingly, the most that one deadlocked shareholder can appropriate from the other deadlocked shareholder is equal to the other shareholder’s </w:t>
      </w:r>
      <w:r w:rsidRPr="00C1598F">
        <w:rPr>
          <w:i/>
          <w:iCs/>
          <w:lang w:val="en-GB"/>
        </w:rPr>
        <w:t>pro rata</w:t>
      </w:r>
      <w:r w:rsidRPr="00C1598F">
        <w:rPr>
          <w:lang w:val="en-GB"/>
        </w:rPr>
        <w:t xml:space="preserve"> fraction of the deadlocked firm value </w:t>
      </w:r>
      <w:r w:rsidRPr="00C1598F">
        <w:rPr>
          <w:i/>
          <w:iCs/>
          <w:lang w:val="en-GB"/>
        </w:rPr>
        <w:t>plus</w:t>
      </w:r>
      <w:r w:rsidRPr="00C1598F">
        <w:rPr>
          <w:lang w:val="en-GB"/>
        </w:rPr>
        <w:t xml:space="preserve"> the potentially infinitesimal inducement justifying the exchange or the post-deadlock firm value </w:t>
      </w:r>
      <w:r w:rsidRPr="00C1598F">
        <w:rPr>
          <w:i/>
          <w:iCs/>
          <w:lang w:val="en-GB"/>
        </w:rPr>
        <w:t>minus</w:t>
      </w:r>
      <w:r w:rsidRPr="00C1598F">
        <w:rPr>
          <w:lang w:val="en-GB"/>
        </w:rPr>
        <w:t xml:space="preserve"> the potentially infinitesimal inducement justifying the exchange. </w:t>
      </w:r>
      <w:r w:rsidRPr="00C1598F">
        <w:rPr>
          <w:lang w:val="en-US"/>
        </w:rPr>
        <w:t>See above, n ___.</w:t>
      </w:r>
    </w:p>
  </w:footnote>
  <w:footnote w:id="56">
    <w:p w14:paraId="5891ED89" w14:textId="77777777" w:rsidR="00837B84" w:rsidRPr="00C1598F" w:rsidRDefault="00837B84" w:rsidP="00456885">
      <w:pPr>
        <w:snapToGrid w:val="0"/>
        <w:ind w:firstLine="567"/>
        <w:jc w:val="both"/>
        <w:rPr>
          <w:sz w:val="20"/>
          <w:szCs w:val="20"/>
          <w:lang w:val="en-US"/>
        </w:rPr>
      </w:pPr>
      <w:r w:rsidRPr="00C1598F">
        <w:rPr>
          <w:rStyle w:val="FootnoteReference"/>
          <w:rFonts w:ascii="Times New Roman" w:hAnsi="Times New Roman"/>
          <w:sz w:val="20"/>
          <w:szCs w:val="20"/>
          <w:lang w:val="en-US"/>
        </w:rPr>
        <w:footnoteRef/>
      </w:r>
      <w:r w:rsidRPr="00C1598F">
        <w:rPr>
          <w:sz w:val="20"/>
          <w:szCs w:val="20"/>
          <w:lang w:val="en-US"/>
        </w:rPr>
        <w:t xml:space="preserve"> If either deadlocked shareholder contemplates starting a new R&amp;D project after completing the buyout, this information relates to future value that stems out of entrepreneurship and does not constitute an informational advantage. See </w:t>
      </w:r>
      <w:r w:rsidRPr="00C1598F">
        <w:rPr>
          <w:color w:val="5B9BD5" w:themeColor="accent1"/>
          <w:sz w:val="20"/>
          <w:szCs w:val="20"/>
          <w:lang w:val="en-US"/>
        </w:rPr>
        <w:t>Goshen &amp; Wiener</w:t>
      </w:r>
      <w:r w:rsidRPr="00C1598F">
        <w:rPr>
          <w:smallCaps/>
          <w:color w:val="5B9BD5" w:themeColor="accent1"/>
          <w:sz w:val="20"/>
          <w:szCs w:val="20"/>
          <w:lang w:val="en-US"/>
        </w:rPr>
        <w:t xml:space="preserve"> </w:t>
      </w:r>
      <w:r w:rsidRPr="00C1598F">
        <w:rPr>
          <w:smallCaps/>
          <w:sz w:val="20"/>
          <w:szCs w:val="20"/>
          <w:lang w:val="en-US"/>
        </w:rPr>
        <w:t xml:space="preserve">(2005), </w:t>
      </w:r>
      <w:r w:rsidRPr="00C1598F">
        <w:rPr>
          <w:sz w:val="20"/>
          <w:szCs w:val="20"/>
          <w:lang w:val="en-US"/>
        </w:rPr>
        <w:t>p 3,</w:t>
      </w:r>
      <w:r w:rsidRPr="00C1598F">
        <w:rPr>
          <w:smallCaps/>
          <w:sz w:val="20"/>
          <w:szCs w:val="20"/>
          <w:lang w:val="en-US"/>
        </w:rPr>
        <w:t xml:space="preserve"> </w:t>
      </w:r>
      <w:r w:rsidRPr="00C1598F">
        <w:rPr>
          <w:sz w:val="20"/>
          <w:szCs w:val="20"/>
          <w:lang w:val="en-US"/>
        </w:rPr>
        <w:t>nt</w:t>
      </w:r>
      <w:r w:rsidRPr="00C1598F">
        <w:rPr>
          <w:smallCaps/>
          <w:sz w:val="20"/>
          <w:szCs w:val="20"/>
          <w:lang w:val="en-US"/>
        </w:rPr>
        <w:t xml:space="preserve">. 8 </w:t>
      </w:r>
      <w:r w:rsidRPr="00C1598F">
        <w:rPr>
          <w:sz w:val="20"/>
          <w:szCs w:val="20"/>
          <w:lang w:val="en-US"/>
        </w:rPr>
        <w:t>and 9-11</w:t>
      </w:r>
      <w:r w:rsidRPr="00C1598F">
        <w:rPr>
          <w:smallCaps/>
          <w:sz w:val="20"/>
          <w:szCs w:val="20"/>
          <w:lang w:val="en-US"/>
        </w:rPr>
        <w:t xml:space="preserve">; </w:t>
      </w:r>
      <w:r w:rsidRPr="00C1598F">
        <w:rPr>
          <w:color w:val="5B9BD5" w:themeColor="accent1"/>
          <w:sz w:val="20"/>
          <w:szCs w:val="20"/>
          <w:lang w:val="en-US"/>
        </w:rPr>
        <w:t>Pacces</w:t>
      </w:r>
      <w:r w:rsidRPr="00C1598F">
        <w:rPr>
          <w:sz w:val="20"/>
          <w:szCs w:val="20"/>
          <w:lang w:val="en-US"/>
        </w:rPr>
        <w:t xml:space="preserve"> (2012); </w:t>
      </w:r>
      <w:r w:rsidRPr="00C1598F">
        <w:rPr>
          <w:color w:val="5B9BD5" w:themeColor="accent1"/>
          <w:sz w:val="20"/>
          <w:szCs w:val="20"/>
          <w:lang w:val="en-US"/>
        </w:rPr>
        <w:t xml:space="preserve">Pacces </w:t>
      </w:r>
      <w:r w:rsidRPr="00C1598F">
        <w:rPr>
          <w:sz w:val="20"/>
          <w:szCs w:val="20"/>
          <w:lang w:val="en-US"/>
        </w:rPr>
        <w:t>(2014)</w:t>
      </w:r>
      <w:r w:rsidRPr="00C1598F">
        <w:rPr>
          <w:smallCaps/>
          <w:sz w:val="20"/>
          <w:szCs w:val="20"/>
          <w:lang w:val="en-US"/>
        </w:rPr>
        <w:t>;</w:t>
      </w:r>
      <w:r w:rsidRPr="00C1598F">
        <w:rPr>
          <w:sz w:val="20"/>
          <w:szCs w:val="20"/>
          <w:lang w:val="en-US"/>
        </w:rPr>
        <w:t xml:space="preserve"> </w:t>
      </w:r>
      <w:r w:rsidRPr="00C1598F">
        <w:rPr>
          <w:color w:val="5B9BD5" w:themeColor="accent1"/>
          <w:sz w:val="20"/>
          <w:szCs w:val="20"/>
          <w:lang w:val="en-US"/>
        </w:rPr>
        <w:t xml:space="preserve">Bolton </w:t>
      </w:r>
      <w:r w:rsidRPr="00C1598F">
        <w:rPr>
          <w:sz w:val="20"/>
          <w:szCs w:val="20"/>
          <w:lang w:val="en-US"/>
        </w:rPr>
        <w:t xml:space="preserve">(2014); and, more recently, for the articulation of a consistent theory, </w:t>
      </w:r>
      <w:r w:rsidRPr="00C1598F">
        <w:rPr>
          <w:color w:val="5B9BD5" w:themeColor="accent1"/>
          <w:sz w:val="20"/>
          <w:szCs w:val="20"/>
          <w:lang w:val="en-US"/>
        </w:rPr>
        <w:t>Goshen &amp; Hamdani</w:t>
      </w:r>
      <w:r w:rsidRPr="00C1598F">
        <w:rPr>
          <w:sz w:val="20"/>
          <w:szCs w:val="20"/>
          <w:lang w:val="en-US"/>
        </w:rPr>
        <w:t xml:space="preserve"> (2015), as well as </w:t>
      </w:r>
      <w:r w:rsidRPr="00C1598F">
        <w:rPr>
          <w:color w:val="5B9BD5" w:themeColor="accent1"/>
          <w:sz w:val="20"/>
          <w:szCs w:val="20"/>
          <w:lang w:val="en-US"/>
        </w:rPr>
        <w:t>Goshen &amp; Hamdani</w:t>
      </w:r>
      <w:r w:rsidRPr="00C1598F">
        <w:rPr>
          <w:sz w:val="20"/>
          <w:szCs w:val="20"/>
          <w:lang w:val="en-US"/>
        </w:rPr>
        <w:t xml:space="preserve"> (2019).</w:t>
      </w:r>
    </w:p>
  </w:footnote>
  <w:footnote w:id="57">
    <w:p w14:paraId="1B5E284B" w14:textId="77777777" w:rsidR="00837B84" w:rsidRPr="00C1598F" w:rsidRDefault="00837B84" w:rsidP="005C4935">
      <w:pPr>
        <w:pStyle w:val="FootnoteText"/>
        <w:snapToGrid w:val="0"/>
        <w:ind w:firstLine="567"/>
        <w:jc w:val="both"/>
        <w:rPr>
          <w:lang w:val="en-US"/>
        </w:rPr>
      </w:pPr>
      <w:r w:rsidRPr="00C1598F">
        <w:rPr>
          <w:rStyle w:val="FootnoteReference"/>
          <w:rFonts w:ascii="Times New Roman" w:hAnsi="Times New Roman"/>
          <w:sz w:val="20"/>
        </w:rPr>
        <w:footnoteRef/>
      </w:r>
      <w:r w:rsidRPr="00C1598F">
        <w:rPr>
          <w:lang w:val="en-US"/>
        </w:rPr>
        <w:t xml:space="preserve"> Intra-firm information asymmetries (for instance, information asymmetries between managers and external shareholders or majority shareholder and minority shareholders) are a pervasive phenomenon and their exploitation by decision-makers can alter the allocation of firm value and, thus, distributive problems See, for instance, ____. Corporate law scholarship deals chiefly with information asymmetries in public firms. Shareholders in close firms are generally thought to be on an equal footing as to information and that, if observable, information asymmetries are less severe than in public firms. See, for instance, ____. Although this thesis sounds plausible in light of the structural features of close firms, reality is more complex. Also in close firms, in fact, shareholders are often on an uneven playing field when it comes to information. See, for instance, ____. </w:t>
      </w:r>
    </w:p>
  </w:footnote>
  <w:footnote w:id="58">
    <w:p w14:paraId="063C8A69" w14:textId="5F71A7F1" w:rsidR="00837B84" w:rsidRPr="00C1598F" w:rsidRDefault="00837B84" w:rsidP="00AD4894">
      <w:pPr>
        <w:ind w:firstLine="567"/>
        <w:jc w:val="both"/>
        <w:rPr>
          <w:sz w:val="20"/>
          <w:szCs w:val="20"/>
          <w:lang w:val="en-US"/>
        </w:rPr>
      </w:pPr>
      <w:r w:rsidRPr="00C1598F">
        <w:rPr>
          <w:rStyle w:val="FootnoteReference"/>
          <w:rFonts w:ascii="Times New Roman" w:hAnsi="Times New Roman"/>
          <w:sz w:val="20"/>
          <w:szCs w:val="20"/>
        </w:rPr>
        <w:footnoteRef/>
      </w:r>
      <w:r w:rsidRPr="00C1598F">
        <w:rPr>
          <w:sz w:val="20"/>
          <w:szCs w:val="20"/>
          <w:lang w:val="en-US"/>
        </w:rPr>
        <w:t xml:space="preserve"> “</w:t>
      </w:r>
      <w:r w:rsidRPr="00C1598F">
        <w:rPr>
          <w:color w:val="1C1D1E"/>
          <w:sz w:val="20"/>
          <w:szCs w:val="20"/>
          <w:shd w:val="clear" w:color="auto" w:fill="FFFFFF"/>
          <w:lang w:val="en-US"/>
        </w:rPr>
        <w:t>In real‐world settings, non-managing investors (limited partners) might be the less informed partners. Given that they have weaker control rights over the business assets and are less likely to participate in the business activities, non-managing investors might be less familiar with the value of the business assets than the managing investors (general partners)</w:t>
      </w:r>
      <w:r w:rsidRPr="00C1598F">
        <w:rPr>
          <w:sz w:val="20"/>
          <w:szCs w:val="20"/>
          <w:lang w:val="en-US"/>
        </w:rPr>
        <w:t>”. See Brooks et al. (2010).</w:t>
      </w:r>
    </w:p>
  </w:footnote>
  <w:footnote w:id="59">
    <w:p w14:paraId="5B96845B" w14:textId="77777777" w:rsidR="00837B84" w:rsidRPr="00C1598F" w:rsidRDefault="00837B84" w:rsidP="00AD4894">
      <w:pPr>
        <w:pStyle w:val="FootnoteText"/>
        <w:snapToGrid w:val="0"/>
        <w:ind w:firstLine="567"/>
        <w:jc w:val="both"/>
        <w:rPr>
          <w:lang w:val="en-US"/>
        </w:rPr>
      </w:pPr>
      <w:r w:rsidRPr="00C1598F">
        <w:rPr>
          <w:rStyle w:val="FootnoteReference"/>
          <w:rFonts w:ascii="Times New Roman" w:hAnsi="Times New Roman"/>
          <w:sz w:val="20"/>
        </w:rPr>
        <w:footnoteRef/>
      </w:r>
      <w:r w:rsidRPr="00C1598F">
        <w:rPr>
          <w:lang w:val="en-US"/>
        </w:rPr>
        <w:t xml:space="preserve"> See ___.</w:t>
      </w:r>
    </w:p>
  </w:footnote>
  <w:footnote w:id="60">
    <w:p w14:paraId="742BD7D0" w14:textId="2C88290E" w:rsidR="00837B84" w:rsidRPr="00C1598F" w:rsidRDefault="00837B84" w:rsidP="005C4935">
      <w:pPr>
        <w:pStyle w:val="FootnoteText"/>
        <w:ind w:firstLine="567"/>
        <w:jc w:val="both"/>
        <w:rPr>
          <w:lang w:val="en-US"/>
        </w:rPr>
      </w:pPr>
      <w:r w:rsidRPr="00C1598F">
        <w:rPr>
          <w:rStyle w:val="FootnoteReference"/>
          <w:rFonts w:ascii="Times New Roman" w:hAnsi="Times New Roman"/>
          <w:sz w:val="20"/>
        </w:rPr>
        <w:footnoteRef/>
      </w:r>
      <w:r w:rsidRPr="00C1598F">
        <w:rPr>
          <w:lang w:val="en-US"/>
        </w:rPr>
        <w:t xml:space="preserve"> </w:t>
      </w:r>
      <w:r w:rsidRPr="00C1598F">
        <w:rPr>
          <w:lang w:val="en-GB"/>
        </w:rPr>
        <w:t>Simply, managerial skills are the knowledge and ability of the individuals in a managerial position to fulfil some specific management activities or tasks. This knowledge and ability can be learned and practiced. However, they also can be acquired through practical implementation of required activities and tasks. Therefore, you can develop each skill through learning and practical experience as a manager. In particular, following skills are included: Planning, Organizing, Leadershop, Communicating, Decision Making, Problem Solving. </w:t>
      </w:r>
    </w:p>
  </w:footnote>
  <w:footnote w:id="61">
    <w:p w14:paraId="545653FE" w14:textId="77777777" w:rsidR="00837B84" w:rsidRPr="00C1598F" w:rsidRDefault="00837B84" w:rsidP="00AA6071">
      <w:pPr>
        <w:pStyle w:val="FootnoteText"/>
        <w:ind w:firstLine="567"/>
        <w:jc w:val="both"/>
        <w:rPr>
          <w:lang w:val="en-US"/>
        </w:rPr>
      </w:pPr>
      <w:r w:rsidRPr="00C1598F">
        <w:rPr>
          <w:rStyle w:val="FootnoteReference"/>
          <w:rFonts w:ascii="Times New Roman" w:hAnsi="Times New Roman"/>
          <w:sz w:val="20"/>
        </w:rPr>
        <w:footnoteRef/>
      </w:r>
      <w:r w:rsidRPr="00C1598F">
        <w:rPr>
          <w:lang w:val="en-US"/>
        </w:rPr>
        <w:t xml:space="preserve"> See </w:t>
      </w:r>
      <w:r w:rsidRPr="00C1598F">
        <w:rPr>
          <w:color w:val="5B9BD5" w:themeColor="accent1"/>
          <w:lang w:val="en-US"/>
        </w:rPr>
        <w:t>Triantis (</w:t>
      </w:r>
      <w:r w:rsidRPr="00C1598F">
        <w:rPr>
          <w:lang w:val="en-US"/>
        </w:rPr>
        <w:t>2004) (explaining how firms can evolve into groups of various types of organizations, from corporations to charitable trusts, and discussing at length the economics of the internal capital markets existing within the intra-group web of inter-firms relationships).</w:t>
      </w:r>
    </w:p>
  </w:footnote>
  <w:footnote w:id="62">
    <w:p w14:paraId="76A00FE6" w14:textId="77777777" w:rsidR="00837B84" w:rsidRPr="00C1598F" w:rsidRDefault="00837B84" w:rsidP="00D961F9">
      <w:pPr>
        <w:pStyle w:val="FootnoteText"/>
        <w:ind w:firstLine="567"/>
        <w:rPr>
          <w:lang w:val="en-US"/>
        </w:rPr>
      </w:pPr>
      <w:r w:rsidRPr="00C1598F">
        <w:rPr>
          <w:rStyle w:val="FootnoteReference"/>
          <w:rFonts w:ascii="Times New Roman" w:hAnsi="Times New Roman"/>
          <w:sz w:val="20"/>
        </w:rPr>
        <w:footnoteRef/>
      </w:r>
      <w:r w:rsidRPr="00C1598F">
        <w:rPr>
          <w:lang w:val="en-US"/>
        </w:rPr>
        <w:t xml:space="preserve"> See above, n ___.</w:t>
      </w:r>
    </w:p>
  </w:footnote>
  <w:footnote w:id="63">
    <w:p w14:paraId="758EDCAB" w14:textId="77777777" w:rsidR="00837B84" w:rsidRPr="00C1598F" w:rsidRDefault="00837B84" w:rsidP="00D961F9">
      <w:pPr>
        <w:pStyle w:val="FootnoteText"/>
        <w:ind w:firstLine="567"/>
        <w:rPr>
          <w:lang w:val="en-US"/>
        </w:rPr>
      </w:pPr>
      <w:r w:rsidRPr="00C1598F">
        <w:rPr>
          <w:rStyle w:val="FootnoteReference"/>
          <w:rFonts w:ascii="Times New Roman" w:hAnsi="Times New Roman"/>
          <w:sz w:val="20"/>
        </w:rPr>
        <w:footnoteRef/>
      </w:r>
      <w:r w:rsidRPr="00C1598F">
        <w:rPr>
          <w:lang w:val="en-US"/>
        </w:rPr>
        <w:t xml:space="preserve"> See above, n ___.</w:t>
      </w:r>
    </w:p>
  </w:footnote>
  <w:footnote w:id="64">
    <w:p w14:paraId="53CFCF9E" w14:textId="59FC759E" w:rsidR="00837B84" w:rsidRPr="00C1598F" w:rsidRDefault="00837B84" w:rsidP="006020B6">
      <w:pPr>
        <w:pStyle w:val="FootnoteText"/>
        <w:ind w:firstLine="567"/>
        <w:jc w:val="both"/>
        <w:rPr>
          <w:lang w:val="en-US"/>
        </w:rPr>
      </w:pPr>
      <w:r w:rsidRPr="00C1598F">
        <w:rPr>
          <w:rStyle w:val="FootnoteReference"/>
          <w:rFonts w:ascii="Times New Roman" w:hAnsi="Times New Roman"/>
          <w:sz w:val="20"/>
        </w:rPr>
        <w:footnoteRef/>
      </w:r>
      <w:r w:rsidRPr="00C1598F">
        <w:rPr>
          <w:lang w:val="en-US"/>
        </w:rPr>
        <w:t xml:space="preserve"> </w:t>
      </w:r>
      <w:r>
        <w:rPr>
          <w:lang w:val="en-US"/>
        </w:rPr>
        <w:t>See ___.</w:t>
      </w:r>
    </w:p>
  </w:footnote>
  <w:footnote w:id="65">
    <w:p w14:paraId="38C9560D" w14:textId="77777777" w:rsidR="00837B84" w:rsidRPr="00C1598F" w:rsidRDefault="00837B84" w:rsidP="002A2261">
      <w:pPr>
        <w:pStyle w:val="FootnoteText"/>
        <w:ind w:firstLine="567"/>
        <w:jc w:val="both"/>
        <w:rPr>
          <w:lang w:val="en-US"/>
        </w:rPr>
      </w:pPr>
      <w:r w:rsidRPr="00C1598F">
        <w:rPr>
          <w:rStyle w:val="FootnoteReference"/>
          <w:rFonts w:ascii="Times New Roman" w:hAnsi="Times New Roman"/>
          <w:sz w:val="20"/>
        </w:rPr>
        <w:footnoteRef/>
      </w:r>
      <w:r w:rsidRPr="00C1598F">
        <w:rPr>
          <w:lang w:val="en-US"/>
        </w:rPr>
        <w:t xml:space="preserve"> This design is just the simplest design possible. Design can vary, however, in many respects. First, differences may regard control-right allocation: that is, it may well be the case that both the shareholders can trigger the buyout procedure. Second, variations can result in the shareholder receiving the notice to name another price. Third, contract can stipulate a specific methodology or formula to set the strike price. The literature has considered some of these arrangements. </w:t>
      </w:r>
      <w:r w:rsidRPr="00C1598F">
        <w:rPr>
          <w:color w:val="000000" w:themeColor="text1"/>
          <w:lang w:val="en-US"/>
        </w:rPr>
        <w:t xml:space="preserve">See, for instance, </w:t>
      </w:r>
      <w:r w:rsidRPr="00C1598F">
        <w:rPr>
          <w:lang w:val="en-US"/>
        </w:rPr>
        <w:t xml:space="preserve">See </w:t>
      </w:r>
      <w:r w:rsidRPr="00C1598F">
        <w:rPr>
          <w:color w:val="5B9BD5" w:themeColor="accent1"/>
          <w:lang w:val="en-US"/>
        </w:rPr>
        <w:t>Page</w:t>
      </w:r>
      <w:r w:rsidRPr="00C1598F">
        <w:rPr>
          <w:lang w:val="en-US"/>
        </w:rPr>
        <w:t xml:space="preserve"> (1959). More recently, see </w:t>
      </w:r>
      <w:r w:rsidRPr="00C1598F">
        <w:rPr>
          <w:color w:val="5B9BD5" w:themeColor="accent1"/>
          <w:lang w:val="en-US"/>
        </w:rPr>
        <w:t xml:space="preserve">Landeo &amp; Spier </w:t>
      </w:r>
      <w:r w:rsidRPr="00C1598F">
        <w:rPr>
          <w:lang w:val="en-US"/>
        </w:rPr>
        <w:t xml:space="preserve">(2014), pp 157 ff. (discussing the advantages and disadvantages linked to a clause labelled Shotgun that entitles each shareholder to activate the buyout procedure). See also </w:t>
      </w:r>
      <w:r w:rsidRPr="00C1598F">
        <w:rPr>
          <w:color w:val="5B9BD5" w:themeColor="accent1"/>
          <w:lang w:val="en-US"/>
        </w:rPr>
        <w:t>Fleischer &amp; Schneider</w:t>
      </w:r>
      <w:r w:rsidRPr="00C1598F">
        <w:rPr>
          <w:lang w:val="en-US"/>
        </w:rPr>
        <w:t xml:space="preserve"> (2012), pp 38-40 (discussing briefly a Texas Shoot-out provisions</w:t>
      </w:r>
      <w:r w:rsidRPr="00C1598F">
        <w:rPr>
          <w:i/>
          <w:lang w:val="en-US"/>
        </w:rPr>
        <w:t xml:space="preserve"> </w:t>
      </w:r>
      <w:r w:rsidRPr="00C1598F">
        <w:rPr>
          <w:lang w:val="en-US"/>
        </w:rPr>
        <w:t>entitling the shareholder that receives the first offer to either accept it or buy the other shareholder out or increase the offer that he had received).</w:t>
      </w:r>
    </w:p>
  </w:footnote>
  <w:footnote w:id="66">
    <w:p w14:paraId="228C7EEC" w14:textId="77777777" w:rsidR="00837B84" w:rsidRPr="00C1598F" w:rsidRDefault="00837B84" w:rsidP="00E33408">
      <w:pPr>
        <w:pStyle w:val="FootnoteText"/>
        <w:snapToGrid w:val="0"/>
        <w:ind w:firstLine="567"/>
        <w:jc w:val="both"/>
        <w:rPr>
          <w:lang w:val="en-US"/>
        </w:rPr>
      </w:pPr>
      <w:r w:rsidRPr="00C1598F">
        <w:rPr>
          <w:rStyle w:val="FootnoteReference"/>
          <w:rFonts w:ascii="Times New Roman" w:hAnsi="Times New Roman"/>
          <w:sz w:val="20"/>
        </w:rPr>
        <w:footnoteRef/>
      </w:r>
      <w:r w:rsidRPr="00C1598F">
        <w:rPr>
          <w:lang w:val="en-US"/>
        </w:rPr>
        <w:t xml:space="preserve"> Buyers want by definition to buy low, so as to appropriate a greater fraction of the cooperative surplus that trade generate. See ___.</w:t>
      </w:r>
    </w:p>
  </w:footnote>
  <w:footnote w:id="67">
    <w:p w14:paraId="02EDEDEB" w14:textId="77777777" w:rsidR="00837B84" w:rsidRPr="00C1598F" w:rsidRDefault="00837B84" w:rsidP="00E33408">
      <w:pPr>
        <w:pStyle w:val="FootnoteText"/>
        <w:snapToGrid w:val="0"/>
        <w:ind w:firstLine="567"/>
        <w:jc w:val="both"/>
        <w:rPr>
          <w:lang w:val="en-US"/>
        </w:rPr>
      </w:pPr>
      <w:r w:rsidRPr="00C1598F">
        <w:rPr>
          <w:rStyle w:val="FootnoteReference"/>
          <w:rFonts w:ascii="Times New Roman" w:hAnsi="Times New Roman"/>
          <w:sz w:val="20"/>
        </w:rPr>
        <w:footnoteRef/>
      </w:r>
      <w:r w:rsidRPr="00C1598F">
        <w:rPr>
          <w:lang w:val="en-US"/>
        </w:rPr>
        <w:t xml:space="preserve"> Sellers want by definition to sell high, so as to appropriate a greater fraction of the cooperative surplus that trade generate. See ___.</w:t>
      </w:r>
    </w:p>
  </w:footnote>
  <w:footnote w:id="68">
    <w:p w14:paraId="1538EBC0" w14:textId="77777777" w:rsidR="00837B84" w:rsidRPr="00C1598F" w:rsidRDefault="00837B84" w:rsidP="00950738">
      <w:pPr>
        <w:pStyle w:val="FootnoteText"/>
        <w:snapToGrid w:val="0"/>
        <w:ind w:firstLine="567"/>
        <w:jc w:val="both"/>
        <w:rPr>
          <w:lang w:val="en-US"/>
        </w:rPr>
      </w:pPr>
      <w:r w:rsidRPr="00C1598F">
        <w:rPr>
          <w:rStyle w:val="FootnoteReference"/>
          <w:rFonts w:ascii="Times New Roman" w:hAnsi="Times New Roman"/>
          <w:sz w:val="20"/>
        </w:rPr>
        <w:footnoteRef/>
      </w:r>
      <w:r w:rsidRPr="00C1598F">
        <w:rPr>
          <w:lang w:val="en-US"/>
        </w:rPr>
        <w:t xml:space="preserve"> See above, n. ___ and corresponding text.</w:t>
      </w:r>
    </w:p>
  </w:footnote>
  <w:footnote w:id="69">
    <w:p w14:paraId="43B8D634" w14:textId="77777777" w:rsidR="00837B84" w:rsidRPr="00C1598F" w:rsidRDefault="00837B84" w:rsidP="00950738">
      <w:pPr>
        <w:pStyle w:val="FootnoteText"/>
        <w:snapToGrid w:val="0"/>
        <w:ind w:firstLine="567"/>
        <w:jc w:val="both"/>
        <w:rPr>
          <w:lang w:val="en-US"/>
        </w:rPr>
      </w:pPr>
      <w:r w:rsidRPr="00C1598F">
        <w:rPr>
          <w:rStyle w:val="FootnoteReference"/>
          <w:rFonts w:ascii="Times New Roman" w:hAnsi="Times New Roman"/>
          <w:sz w:val="20"/>
        </w:rPr>
        <w:footnoteRef/>
      </w:r>
      <w:r w:rsidRPr="00C1598F">
        <w:rPr>
          <w:lang w:val="en-US"/>
        </w:rPr>
        <w:t xml:space="preserve"> See above, n. ___ and corresponding text.</w:t>
      </w:r>
    </w:p>
  </w:footnote>
  <w:footnote w:id="70">
    <w:p w14:paraId="24FE5E3C" w14:textId="77777777" w:rsidR="00837B84" w:rsidRPr="00C1598F" w:rsidRDefault="00837B84" w:rsidP="00950738">
      <w:pPr>
        <w:pStyle w:val="FootnoteText"/>
        <w:ind w:firstLine="567"/>
        <w:rPr>
          <w:lang w:val="en-US"/>
        </w:rPr>
      </w:pPr>
      <w:r w:rsidRPr="00C1598F">
        <w:rPr>
          <w:rStyle w:val="FootnoteReference"/>
          <w:rFonts w:ascii="Times New Roman" w:hAnsi="Times New Roman"/>
          <w:sz w:val="20"/>
        </w:rPr>
        <w:footnoteRef/>
      </w:r>
      <w:r w:rsidRPr="00C1598F">
        <w:rPr>
          <w:lang w:val="en-US"/>
        </w:rPr>
        <w:t xml:space="preserve"> See above, n. ___ and corresponding text.</w:t>
      </w:r>
    </w:p>
  </w:footnote>
  <w:footnote w:id="71">
    <w:p w14:paraId="4D71F95D" w14:textId="77777777" w:rsidR="00837B84" w:rsidRPr="00C1598F" w:rsidRDefault="00837B84" w:rsidP="00950738">
      <w:pPr>
        <w:pStyle w:val="FootnoteText"/>
        <w:snapToGrid w:val="0"/>
        <w:ind w:firstLine="567"/>
        <w:jc w:val="both"/>
        <w:rPr>
          <w:lang w:val="en-US"/>
        </w:rPr>
      </w:pPr>
      <w:r w:rsidRPr="00C1598F">
        <w:rPr>
          <w:rStyle w:val="FootnoteReference"/>
          <w:rFonts w:ascii="Times New Roman" w:hAnsi="Times New Roman"/>
          <w:sz w:val="20"/>
        </w:rPr>
        <w:footnoteRef/>
      </w:r>
      <w:r w:rsidRPr="00C1598F">
        <w:rPr>
          <w:lang w:val="en-US"/>
        </w:rPr>
        <w:t xml:space="preserve"> See above, n. ___ and corresponding text.</w:t>
      </w:r>
    </w:p>
  </w:footnote>
  <w:footnote w:id="72">
    <w:p w14:paraId="661943C2" w14:textId="7F0B9CF4" w:rsidR="00837B84" w:rsidRPr="00C1598F" w:rsidRDefault="00837B84" w:rsidP="00C1598F">
      <w:pPr>
        <w:ind w:firstLine="567"/>
        <w:jc w:val="both"/>
        <w:rPr>
          <w:sz w:val="20"/>
          <w:szCs w:val="20"/>
          <w:lang w:val="it-IT"/>
        </w:rPr>
      </w:pPr>
      <w:r w:rsidRPr="00C1598F">
        <w:rPr>
          <w:rStyle w:val="FootnoteReference"/>
          <w:rFonts w:ascii="Times New Roman" w:hAnsi="Times New Roman"/>
          <w:sz w:val="20"/>
          <w:szCs w:val="20"/>
        </w:rPr>
        <w:footnoteRef/>
      </w:r>
      <w:r w:rsidRPr="00C1598F">
        <w:rPr>
          <w:sz w:val="20"/>
          <w:szCs w:val="20"/>
        </w:rPr>
        <w:t xml:space="preserve"> </w:t>
      </w:r>
      <w:r w:rsidRPr="00C1598F">
        <w:rPr>
          <w:sz w:val="20"/>
          <w:szCs w:val="20"/>
          <w:lang w:val="en-GB"/>
        </w:rPr>
        <w:t>Note that the extinction of the ZoPA has in turn important consequences on the dynamics underlying extemporary negotiations regardless of whether the buyout procedure is actually triggered or not. In fact, being there is no longer any room for bargaining: inter-shareholdings trading through extemporary negotiations now can in fact succeed only if the triggering shareholder were to pay the non-triggering shareholder a price P</w:t>
      </w:r>
      <w:r w:rsidRPr="00C1598F">
        <w:rPr>
          <w:sz w:val="20"/>
          <w:szCs w:val="20"/>
          <w:vertAlign w:val="subscript"/>
          <w:lang w:val="en-GB"/>
        </w:rPr>
        <w:t>1</w:t>
      </w:r>
      <w:r w:rsidRPr="00C1598F">
        <w:rPr>
          <w:sz w:val="20"/>
          <w:szCs w:val="20"/>
          <w:lang w:val="en-GB"/>
        </w:rPr>
        <w:t>=OP</w:t>
      </w:r>
      <w:r w:rsidRPr="00C1598F">
        <w:rPr>
          <w:sz w:val="20"/>
          <w:szCs w:val="20"/>
          <w:vertAlign w:val="subscript"/>
          <w:lang w:val="en-GB"/>
        </w:rPr>
        <w:t>2</w:t>
      </w:r>
      <w:r w:rsidRPr="00C1598F">
        <w:rPr>
          <w:sz w:val="20"/>
          <w:szCs w:val="20"/>
          <w:lang w:val="en-GB"/>
        </w:rPr>
        <w:t xml:space="preserve">=PDFV/2; or, </w:t>
      </w:r>
      <w:r w:rsidRPr="00C1598F">
        <w:rPr>
          <w:i/>
          <w:iCs/>
          <w:sz w:val="20"/>
          <w:szCs w:val="20"/>
          <w:lang w:val="en-GB"/>
        </w:rPr>
        <w:t>viceversa</w:t>
      </w:r>
      <w:r w:rsidRPr="00C1598F">
        <w:rPr>
          <w:sz w:val="20"/>
          <w:szCs w:val="20"/>
          <w:lang w:val="en-GB"/>
        </w:rPr>
        <w:t>, if the non-triggering shareholder were to pay the triggering shareholder a price P</w:t>
      </w:r>
      <w:r w:rsidRPr="00C1598F">
        <w:rPr>
          <w:sz w:val="20"/>
          <w:szCs w:val="20"/>
          <w:vertAlign w:val="subscript"/>
          <w:lang w:val="en-GB"/>
        </w:rPr>
        <w:t>2</w:t>
      </w:r>
      <w:r w:rsidRPr="00C1598F">
        <w:rPr>
          <w:sz w:val="20"/>
          <w:szCs w:val="20"/>
          <w:lang w:val="en-GB"/>
        </w:rPr>
        <w:t>=OP</w:t>
      </w:r>
      <w:r w:rsidRPr="00C1598F">
        <w:rPr>
          <w:sz w:val="20"/>
          <w:szCs w:val="20"/>
          <w:vertAlign w:val="subscript"/>
          <w:lang w:val="en-GB"/>
        </w:rPr>
        <w:t>1</w:t>
      </w:r>
      <w:r w:rsidRPr="00C1598F">
        <w:rPr>
          <w:sz w:val="20"/>
          <w:szCs w:val="20"/>
          <w:lang w:val="en-GB"/>
        </w:rPr>
        <w:t xml:space="preserve">=PDFV/2. That is, extemporary negotiations can succeed only if either deadlocked shareholder were to pay his counterparty his </w:t>
      </w:r>
      <w:r w:rsidRPr="00C1598F">
        <w:rPr>
          <w:i/>
          <w:iCs/>
          <w:sz w:val="20"/>
          <w:szCs w:val="20"/>
          <w:lang w:val="en-GB"/>
        </w:rPr>
        <w:t>pro rata</w:t>
      </w:r>
      <w:r w:rsidRPr="00C1598F">
        <w:rPr>
          <w:sz w:val="20"/>
          <w:szCs w:val="20"/>
          <w:lang w:val="en-GB"/>
        </w:rPr>
        <w:t xml:space="preserve"> fraction of post-deadlock firm value, ultimately leading to a fair buyout. </w:t>
      </w:r>
      <w:r w:rsidRPr="00C1598F">
        <w:rPr>
          <w:b/>
          <w:i/>
          <w:sz w:val="20"/>
          <w:szCs w:val="20"/>
          <w:lang w:val="en-US"/>
        </w:rPr>
        <w:t>Example</w:t>
      </w:r>
      <w:r w:rsidRPr="00C1598F">
        <w:rPr>
          <w:sz w:val="20"/>
          <w:szCs w:val="20"/>
          <w:lang w:val="en-US"/>
        </w:rPr>
        <w:t>: Alfa is a deadlocked firm with A and B in the vests of the triggering shareholder and the non-triggering shareholder, respectively. Alfa’s DFV and PDFV stands at 400 and 500, respectively. And A’ and B</w:t>
      </w:r>
      <w:r w:rsidRPr="00C1598F">
        <w:rPr>
          <w:sz w:val="20"/>
          <w:szCs w:val="20"/>
          <w:lang w:val="en-GB"/>
        </w:rPr>
        <w:t>’s shareholdings are accordingly worth 200 and 250 each, respectively. Absent a Russian Roulette provision, extemporary negotiations between A and B would possibly result in some sort of under- and over-payments</w:t>
      </w:r>
      <w:r w:rsidRPr="00C1598F">
        <w:rPr>
          <w:rStyle w:val="FootnoteReference"/>
          <w:rFonts w:ascii="Times New Roman" w:hAnsi="Times New Roman"/>
          <w:sz w:val="20"/>
          <w:szCs w:val="20"/>
          <w:lang w:val="en-GB"/>
        </w:rPr>
        <w:footnoteRef/>
      </w:r>
      <w:r w:rsidRPr="00C1598F">
        <w:rPr>
          <w:sz w:val="20"/>
          <w:szCs w:val="20"/>
          <w:lang w:val="en-GB"/>
        </w:rPr>
        <w:t>. Insofar as the contract features a Russian Roulette provision, A’ and B’s outside options are a function of PDFV, such that OP</w:t>
      </w:r>
      <w:r w:rsidRPr="00C1598F">
        <w:rPr>
          <w:sz w:val="20"/>
          <w:szCs w:val="20"/>
          <w:vertAlign w:val="subscript"/>
          <w:lang w:val="en-GB"/>
        </w:rPr>
        <w:t>1</w:t>
      </w:r>
      <w:r w:rsidRPr="00C1598F">
        <w:rPr>
          <w:sz w:val="20"/>
          <w:szCs w:val="20"/>
          <w:lang w:val="en-GB"/>
        </w:rPr>
        <w:t>=OP</w:t>
      </w:r>
      <w:r w:rsidRPr="00C1598F">
        <w:rPr>
          <w:sz w:val="20"/>
          <w:szCs w:val="20"/>
          <w:vertAlign w:val="subscript"/>
          <w:lang w:val="en-GB"/>
        </w:rPr>
        <w:t>2</w:t>
      </w:r>
      <w:r w:rsidRPr="00C1598F">
        <w:rPr>
          <w:sz w:val="20"/>
          <w:szCs w:val="20"/>
          <w:lang w:val="en-GB"/>
        </w:rPr>
        <w:t>=250. As OP</w:t>
      </w:r>
      <w:r w:rsidRPr="00C1598F">
        <w:rPr>
          <w:sz w:val="20"/>
          <w:szCs w:val="20"/>
          <w:vertAlign w:val="subscript"/>
          <w:lang w:val="en-GB"/>
        </w:rPr>
        <w:t>1</w:t>
      </w:r>
      <w:r w:rsidRPr="00C1598F">
        <w:rPr>
          <w:sz w:val="20"/>
          <w:szCs w:val="20"/>
          <w:lang w:val="en-GB"/>
        </w:rPr>
        <w:t>=OP</w:t>
      </w:r>
      <w:r w:rsidRPr="00C1598F">
        <w:rPr>
          <w:sz w:val="20"/>
          <w:szCs w:val="20"/>
          <w:vertAlign w:val="subscript"/>
          <w:lang w:val="en-GB"/>
        </w:rPr>
        <w:t>2</w:t>
      </w:r>
      <w:r w:rsidRPr="00C1598F">
        <w:rPr>
          <w:sz w:val="20"/>
          <w:szCs w:val="20"/>
          <w:lang w:val="en-GB"/>
        </w:rPr>
        <w:t>=PDFV/2=500/2=250 and HP1=HP2=PDFV-PDFV/2=500-500/2=500-250=250, OP1=OP2=HP1=HP2=250. The ZoPA has now accordingly shrunk to 250. Therefore, neither A or B would buy the other’s deadlocked shareholder’s shareholding or sell their own shareholding at any price that is either higher or lower than 250. Against this backdrop, inter-shareholding trading can now succeed only if A pays B 250 – or viceversa. A fair buyout would materialize, eventually.</w:t>
      </w:r>
    </w:p>
  </w:footnote>
  <w:footnote w:id="73">
    <w:p w14:paraId="58258F17" w14:textId="77777777" w:rsidR="00837B84" w:rsidRPr="00C1598F" w:rsidRDefault="00837B84" w:rsidP="0060573D">
      <w:pPr>
        <w:pStyle w:val="FootnoteText"/>
        <w:ind w:firstLine="567"/>
        <w:jc w:val="both"/>
        <w:rPr>
          <w:lang w:val="en-US"/>
        </w:rPr>
      </w:pPr>
      <w:r w:rsidRPr="00C1598F">
        <w:rPr>
          <w:rStyle w:val="FootnoteReference"/>
          <w:rFonts w:ascii="Times New Roman" w:hAnsi="Times New Roman"/>
          <w:sz w:val="20"/>
        </w:rPr>
        <w:footnoteRef/>
      </w:r>
      <w:r w:rsidRPr="00C1598F">
        <w:rPr>
          <w:lang w:val="en-US"/>
        </w:rPr>
        <w:t xml:space="preserve"> On tunneling, see, generally, Johnson et al. (2000). Here tunneling comes in the form of “equity tunneling”, which, as per Atanasov et al. (2011), pp 7-8, fn 50 and corresponding text, “[increases the decision-maker’s] ownership claims over the firm’s assets, [at the expense of the shareholder external to decision-making], without directly affecting the firm’s operations”. As such, it is detectable – </w:t>
      </w:r>
      <w:r w:rsidRPr="00C1598F">
        <w:rPr>
          <w:i/>
          <w:iCs/>
          <w:lang w:val="en-US"/>
        </w:rPr>
        <w:t>inter alia</w:t>
      </w:r>
      <w:r w:rsidRPr="00C1598F">
        <w:rPr>
          <w:lang w:val="en-US"/>
        </w:rPr>
        <w:t xml:space="preserve"> – when a shareholder buys another shareholder’s shareholding at an unfair price. Being a synonym for “expropriation” (in the economic sense), “predation” consists in the ultimate outcome of tunneling. An extensive literature in financial contracting theory and law and economics resorts to this term. See, e.g., Fudenberg &amp; Tirole (1986), on the one hand; and Anabtawi (2016), on the other hand.</w:t>
      </w:r>
    </w:p>
  </w:footnote>
  <w:footnote w:id="74">
    <w:p w14:paraId="33EF4A49" w14:textId="77777777" w:rsidR="00837B84" w:rsidRPr="00C1598F" w:rsidRDefault="00837B84" w:rsidP="0060573D">
      <w:pPr>
        <w:pStyle w:val="FootnoteText"/>
        <w:snapToGrid w:val="0"/>
        <w:ind w:firstLine="567"/>
        <w:jc w:val="both"/>
        <w:rPr>
          <w:lang w:val="en-US"/>
        </w:rPr>
      </w:pPr>
      <w:r w:rsidRPr="00C1598F">
        <w:rPr>
          <w:rStyle w:val="FootnoteReference"/>
          <w:rFonts w:ascii="Times New Roman" w:hAnsi="Times New Roman"/>
          <w:sz w:val="20"/>
          <w:lang w:val="en-US"/>
        </w:rPr>
        <w:footnoteRef/>
      </w:r>
      <w:r w:rsidRPr="00C1598F">
        <w:rPr>
          <w:lang w:val="en-US"/>
        </w:rPr>
        <w:t xml:space="preserve"> See Clark (1986). </w:t>
      </w:r>
    </w:p>
  </w:footnote>
  <w:footnote w:id="75">
    <w:p w14:paraId="7E019FB1" w14:textId="77777777" w:rsidR="00837B84" w:rsidRPr="00C1598F" w:rsidRDefault="00837B84" w:rsidP="0060573D">
      <w:pPr>
        <w:pStyle w:val="FootnoteText"/>
        <w:snapToGrid w:val="0"/>
        <w:ind w:firstLine="567"/>
        <w:jc w:val="both"/>
        <w:rPr>
          <w:lang w:val="en-US"/>
        </w:rPr>
      </w:pPr>
      <w:r w:rsidRPr="00C1598F">
        <w:rPr>
          <w:rStyle w:val="FootnoteReference"/>
          <w:rFonts w:ascii="Times New Roman" w:hAnsi="Times New Roman"/>
          <w:sz w:val="20"/>
          <w:lang w:val="en-US"/>
        </w:rPr>
        <w:footnoteRef/>
      </w:r>
      <w:r w:rsidRPr="00C1598F">
        <w:rPr>
          <w:lang w:val="en-US"/>
        </w:rPr>
        <w:t xml:space="preserve"> Goshen &amp; Wiener (2003), p 2. </w:t>
      </w:r>
    </w:p>
  </w:footnote>
  <w:footnote w:id="76">
    <w:p w14:paraId="6818D872" w14:textId="77777777" w:rsidR="00837B84" w:rsidRPr="00C1598F" w:rsidRDefault="00837B84" w:rsidP="00AD1636">
      <w:pPr>
        <w:pStyle w:val="FootnoteText"/>
        <w:snapToGrid w:val="0"/>
        <w:ind w:firstLine="567"/>
        <w:jc w:val="both"/>
        <w:rPr>
          <w:lang w:val="en-US"/>
        </w:rPr>
      </w:pPr>
      <w:r w:rsidRPr="00C1598F">
        <w:rPr>
          <w:rStyle w:val="FootnoteReference"/>
          <w:rFonts w:ascii="Times New Roman" w:hAnsi="Times New Roman"/>
          <w:sz w:val="20"/>
        </w:rPr>
        <w:footnoteRef/>
      </w:r>
      <w:r w:rsidRPr="00C1598F">
        <w:rPr>
          <w:lang w:val="en-US"/>
        </w:rPr>
        <w:t xml:space="preserve"> See above, nn ____-____.</w:t>
      </w:r>
    </w:p>
  </w:footnote>
  <w:footnote w:id="77">
    <w:p w14:paraId="1C3482E7" w14:textId="77777777" w:rsidR="00837B84" w:rsidRPr="00C1598F" w:rsidRDefault="00837B84" w:rsidP="00AD1636">
      <w:pPr>
        <w:pStyle w:val="FootnoteText"/>
        <w:snapToGrid w:val="0"/>
        <w:ind w:firstLine="567"/>
        <w:jc w:val="both"/>
        <w:rPr>
          <w:lang w:val="en-US"/>
        </w:rPr>
      </w:pPr>
      <w:r w:rsidRPr="00C1598F">
        <w:rPr>
          <w:rStyle w:val="FootnoteReference"/>
          <w:rFonts w:ascii="Times New Roman" w:hAnsi="Times New Roman"/>
          <w:sz w:val="20"/>
        </w:rPr>
        <w:footnoteRef/>
      </w:r>
      <w:r w:rsidRPr="00C1598F">
        <w:rPr>
          <w:lang w:val="en-US"/>
        </w:rPr>
        <w:t xml:space="preserve"> See above, nn ____-____.</w:t>
      </w:r>
    </w:p>
  </w:footnote>
  <w:footnote w:id="78">
    <w:p w14:paraId="258EAA91" w14:textId="6C2A92AC" w:rsidR="00837B84" w:rsidRPr="00C1598F" w:rsidRDefault="00837B84" w:rsidP="00AD1636">
      <w:pPr>
        <w:pStyle w:val="FootnoteText"/>
        <w:ind w:firstLine="567"/>
        <w:jc w:val="both"/>
        <w:rPr>
          <w:lang w:val="en-US"/>
        </w:rPr>
      </w:pPr>
      <w:r w:rsidRPr="00C1598F">
        <w:rPr>
          <w:rStyle w:val="FootnoteReference"/>
          <w:rFonts w:ascii="Times New Roman" w:hAnsi="Times New Roman"/>
          <w:sz w:val="20"/>
        </w:rPr>
        <w:footnoteRef/>
      </w:r>
      <w:r w:rsidRPr="00C1598F">
        <w:rPr>
          <w:lang w:val="en-US"/>
        </w:rPr>
        <w:t xml:space="preserve"> See above, n. ___ and corresponding text.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B4CD2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565C1B"/>
    <w:multiLevelType w:val="hybridMultilevel"/>
    <w:tmpl w:val="A3B2538C"/>
    <w:lvl w:ilvl="0" w:tplc="34F8571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E601849"/>
    <w:multiLevelType w:val="multilevel"/>
    <w:tmpl w:val="08945206"/>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1248064D"/>
    <w:multiLevelType w:val="multilevel"/>
    <w:tmpl w:val="08945206"/>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 w15:restartNumberingAfterBreak="0">
    <w:nsid w:val="225C691E"/>
    <w:multiLevelType w:val="multilevel"/>
    <w:tmpl w:val="E64EC902"/>
    <w:lvl w:ilvl="0">
      <w:start w:val="1"/>
      <w:numFmt w:val="decimal"/>
      <w:lvlText w:val="%1."/>
      <w:lvlJc w:val="left"/>
      <w:pPr>
        <w:ind w:left="720" w:hanging="360"/>
      </w:pPr>
      <w:rPr>
        <w:rFonts w:hint="default"/>
        <w:i w:val="0"/>
        <w:color w:val="auto"/>
        <w:sz w:val="21"/>
        <w:szCs w:val="21"/>
      </w:rPr>
    </w:lvl>
    <w:lvl w:ilvl="1">
      <w:start w:val="1"/>
      <w:numFmt w:val="decimal"/>
      <w:isLgl/>
      <w:lvlText w:val="%1.%2."/>
      <w:lvlJc w:val="left"/>
      <w:pPr>
        <w:ind w:left="720" w:hanging="360"/>
      </w:pPr>
      <w:rPr>
        <w:rFonts w:hint="default"/>
        <w:i w:val="0"/>
        <w:color w:val="auto"/>
        <w:lang w:val="it-I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4272742"/>
    <w:multiLevelType w:val="hybridMultilevel"/>
    <w:tmpl w:val="7A4ADEAA"/>
    <w:lvl w:ilvl="0" w:tplc="A74C91DC">
      <w:start w:val="1"/>
      <w:numFmt w:val="upperRoman"/>
      <w:lvlText w:val="%1."/>
      <w:lvlJc w:val="right"/>
      <w:pPr>
        <w:ind w:left="720" w:hanging="360"/>
      </w:pPr>
      <w:rPr>
        <w:rFonts w:hint="default"/>
        <w:i w:val="0"/>
        <w:color w:val="auto"/>
        <w:sz w:val="21"/>
        <w:szCs w:val="2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B453A3D"/>
    <w:multiLevelType w:val="hybridMultilevel"/>
    <w:tmpl w:val="ABE0302C"/>
    <w:lvl w:ilvl="0" w:tplc="910C009C">
      <w:start w:val="1"/>
      <w:numFmt w:val="decimal"/>
      <w:lvlText w:val="%1."/>
      <w:lvlJc w:val="left"/>
      <w:pPr>
        <w:ind w:left="720" w:hanging="360"/>
      </w:pPr>
      <w:rPr>
        <w:rFonts w:hint="default"/>
        <w:color w:val="auto"/>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C2F5326"/>
    <w:multiLevelType w:val="multilevel"/>
    <w:tmpl w:val="447E13B4"/>
    <w:lvl w:ilvl="0">
      <w:start w:val="1"/>
      <w:numFmt w:val="decimal"/>
      <w:lvlText w:val="%1."/>
      <w:lvlJc w:val="left"/>
      <w:pPr>
        <w:ind w:left="1287" w:hanging="360"/>
      </w:pPr>
      <w:rPr>
        <w:i w:val="0"/>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ascii="Times New Roman" w:hAnsi="Times New Roman" w:cs="Times New Roman" w:hint="default"/>
        <w:i w:val="0"/>
        <w:sz w:val="24"/>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15:restartNumberingAfterBreak="0">
    <w:nsid w:val="2CDF13DF"/>
    <w:multiLevelType w:val="hybridMultilevel"/>
    <w:tmpl w:val="460223F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1D57512"/>
    <w:multiLevelType w:val="hybridMultilevel"/>
    <w:tmpl w:val="F9F280DA"/>
    <w:lvl w:ilvl="0" w:tplc="CA46734C">
      <w:start w:val="1"/>
      <w:numFmt w:val="decimal"/>
      <w:lvlText w:val="%1."/>
      <w:lvlJc w:val="left"/>
      <w:pPr>
        <w:ind w:left="720" w:hanging="360"/>
      </w:pPr>
      <w:rPr>
        <w:rFonts w:hint="default"/>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8E559BF"/>
    <w:multiLevelType w:val="hybridMultilevel"/>
    <w:tmpl w:val="DD0EF5A6"/>
    <w:lvl w:ilvl="0" w:tplc="2DEC324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B1303C0"/>
    <w:multiLevelType w:val="hybridMultilevel"/>
    <w:tmpl w:val="C5480652"/>
    <w:lvl w:ilvl="0" w:tplc="DFE4E3A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E6B5587"/>
    <w:multiLevelType w:val="hybridMultilevel"/>
    <w:tmpl w:val="C546A37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0C33F95"/>
    <w:multiLevelType w:val="multilevel"/>
    <w:tmpl w:val="356A888C"/>
    <w:lvl w:ilvl="0">
      <w:start w:val="1"/>
      <w:numFmt w:val="decimal"/>
      <w:lvlText w:val="%1."/>
      <w:lvlJc w:val="left"/>
      <w:pPr>
        <w:ind w:left="720" w:hanging="360"/>
      </w:pPr>
      <w:rPr>
        <w:rFonts w:hint="default"/>
        <w:i w:val="0"/>
        <w:sz w:val="22"/>
        <w:szCs w:val="22"/>
      </w:rPr>
    </w:lvl>
    <w:lvl w:ilvl="1">
      <w:start w:val="1"/>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lang w:val="en-US"/>
      </w:rPr>
    </w:lvl>
    <w:lvl w:ilvl="3">
      <w:start w:val="1"/>
      <w:numFmt w:val="decimal"/>
      <w:isLgl/>
      <w:lvlText w:val="%1.%2.%3.%4."/>
      <w:lvlJc w:val="left"/>
      <w:pPr>
        <w:ind w:left="1701" w:hanging="720"/>
      </w:pPr>
      <w:rPr>
        <w:rFonts w:hint="default"/>
        <w:i w:val="0"/>
        <w:sz w:val="24"/>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42F15F5A"/>
    <w:multiLevelType w:val="hybridMultilevel"/>
    <w:tmpl w:val="107E01D6"/>
    <w:lvl w:ilvl="0" w:tplc="E2C4FB0C">
      <w:start w:val="1"/>
      <w:numFmt w:val="decimal"/>
      <w:lvlText w:val="%1."/>
      <w:lvlJc w:val="left"/>
      <w:pPr>
        <w:ind w:left="720" w:hanging="360"/>
      </w:pPr>
      <w:rPr>
        <w:rFonts w:ascii="Times New Roman" w:hAnsi="Times New Roman" w:cs="Times New Roman" w:hint="default"/>
        <w:i w:val="0"/>
        <w:color w:val="auto"/>
        <w:vertAlign w:val="baseline"/>
      </w:rPr>
    </w:lvl>
    <w:lvl w:ilvl="1" w:tplc="2196E020">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407375"/>
    <w:multiLevelType w:val="hybridMultilevel"/>
    <w:tmpl w:val="91E6C2F6"/>
    <w:lvl w:ilvl="0" w:tplc="7B12D4B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569095C"/>
    <w:multiLevelType w:val="hybridMultilevel"/>
    <w:tmpl w:val="03F2A248"/>
    <w:lvl w:ilvl="0" w:tplc="E66A286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497848C6"/>
    <w:multiLevelType w:val="hybridMultilevel"/>
    <w:tmpl w:val="BDC6CB8C"/>
    <w:lvl w:ilvl="0" w:tplc="3FFAA3F6">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8" w15:restartNumberingAfterBreak="0">
    <w:nsid w:val="52CC1DF0"/>
    <w:multiLevelType w:val="hybridMultilevel"/>
    <w:tmpl w:val="27EA88CA"/>
    <w:lvl w:ilvl="0" w:tplc="F00EC8C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761394"/>
    <w:multiLevelType w:val="hybridMultilevel"/>
    <w:tmpl w:val="147ACE6C"/>
    <w:lvl w:ilvl="0" w:tplc="2E5A95C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60487EAE"/>
    <w:multiLevelType w:val="multilevel"/>
    <w:tmpl w:val="08945206"/>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1" w15:restartNumberingAfterBreak="0">
    <w:nsid w:val="618A2DB3"/>
    <w:multiLevelType w:val="hybridMultilevel"/>
    <w:tmpl w:val="C37E6184"/>
    <w:lvl w:ilvl="0" w:tplc="08090013">
      <w:start w:val="1"/>
      <w:numFmt w:val="upp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63BD06FA"/>
    <w:multiLevelType w:val="multilevel"/>
    <w:tmpl w:val="08945206"/>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3" w15:restartNumberingAfterBreak="0">
    <w:nsid w:val="66E69371"/>
    <w:multiLevelType w:val="hybridMultilevel"/>
    <w:tmpl w:val="5DA7B39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EC65FA4"/>
    <w:multiLevelType w:val="hybridMultilevel"/>
    <w:tmpl w:val="483C9064"/>
    <w:lvl w:ilvl="0" w:tplc="786EB93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6590775"/>
    <w:multiLevelType w:val="hybridMultilevel"/>
    <w:tmpl w:val="73B678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9F91B4F"/>
    <w:multiLevelType w:val="hybridMultilevel"/>
    <w:tmpl w:val="5FDA9650"/>
    <w:lvl w:ilvl="0" w:tplc="A120E8AA">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7AE1585A"/>
    <w:multiLevelType w:val="hybridMultilevel"/>
    <w:tmpl w:val="DBF8701E"/>
    <w:lvl w:ilvl="0" w:tplc="A6C0C722">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8" w15:restartNumberingAfterBreak="0">
    <w:nsid w:val="7C121D98"/>
    <w:multiLevelType w:val="hybridMultilevel"/>
    <w:tmpl w:val="3BB03254"/>
    <w:lvl w:ilvl="0" w:tplc="D160F17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9" w15:restartNumberingAfterBreak="0">
    <w:nsid w:val="7F7E647E"/>
    <w:multiLevelType w:val="hybridMultilevel"/>
    <w:tmpl w:val="E4A880BA"/>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5"/>
  </w:num>
  <w:num w:numId="2">
    <w:abstractNumId w:val="9"/>
  </w:num>
  <w:num w:numId="3">
    <w:abstractNumId w:val="4"/>
  </w:num>
  <w:num w:numId="4">
    <w:abstractNumId w:val="6"/>
  </w:num>
  <w:num w:numId="5">
    <w:abstractNumId w:val="23"/>
  </w:num>
  <w:num w:numId="6">
    <w:abstractNumId w:val="18"/>
  </w:num>
  <w:num w:numId="7">
    <w:abstractNumId w:val="10"/>
  </w:num>
  <w:num w:numId="8">
    <w:abstractNumId w:val="15"/>
  </w:num>
  <w:num w:numId="9">
    <w:abstractNumId w:val="11"/>
  </w:num>
  <w:num w:numId="10">
    <w:abstractNumId w:val="8"/>
  </w:num>
  <w:num w:numId="11">
    <w:abstractNumId w:val="12"/>
  </w:num>
  <w:num w:numId="12">
    <w:abstractNumId w:val="24"/>
  </w:num>
  <w:num w:numId="13">
    <w:abstractNumId w:val="0"/>
  </w:num>
  <w:num w:numId="14">
    <w:abstractNumId w:val="25"/>
  </w:num>
  <w:num w:numId="15">
    <w:abstractNumId w:val="19"/>
  </w:num>
  <w:num w:numId="16">
    <w:abstractNumId w:val="21"/>
  </w:num>
  <w:num w:numId="17">
    <w:abstractNumId w:val="26"/>
  </w:num>
  <w:num w:numId="18">
    <w:abstractNumId w:val="3"/>
  </w:num>
  <w:num w:numId="19">
    <w:abstractNumId w:val="1"/>
  </w:num>
  <w:num w:numId="20">
    <w:abstractNumId w:val="29"/>
  </w:num>
  <w:num w:numId="21">
    <w:abstractNumId w:val="16"/>
  </w:num>
  <w:num w:numId="22">
    <w:abstractNumId w:val="20"/>
  </w:num>
  <w:num w:numId="23">
    <w:abstractNumId w:val="2"/>
  </w:num>
  <w:num w:numId="24">
    <w:abstractNumId w:val="22"/>
  </w:num>
  <w:num w:numId="25">
    <w:abstractNumId w:val="7"/>
  </w:num>
  <w:num w:numId="26">
    <w:abstractNumId w:val="14"/>
  </w:num>
  <w:num w:numId="27">
    <w:abstractNumId w:val="27"/>
  </w:num>
  <w:num w:numId="28">
    <w:abstractNumId w:val="13"/>
  </w:num>
  <w:num w:numId="29">
    <w:abstractNumId w:val="17"/>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LAwNrc0NzQyMTIyMjZQ0lEKTi0uzszPAykwNKkFAPm/xN4tAAAA"/>
  </w:docVars>
  <w:rsids>
    <w:rsidRoot w:val="00D6452C"/>
    <w:rsid w:val="0000013E"/>
    <w:rsid w:val="00000F76"/>
    <w:rsid w:val="00001954"/>
    <w:rsid w:val="00002AE1"/>
    <w:rsid w:val="00002E5C"/>
    <w:rsid w:val="00002FAB"/>
    <w:rsid w:val="0000319C"/>
    <w:rsid w:val="00003765"/>
    <w:rsid w:val="0000435E"/>
    <w:rsid w:val="00006F2C"/>
    <w:rsid w:val="0000754C"/>
    <w:rsid w:val="00007FF0"/>
    <w:rsid w:val="00010EA2"/>
    <w:rsid w:val="0001123F"/>
    <w:rsid w:val="000113D5"/>
    <w:rsid w:val="000124C7"/>
    <w:rsid w:val="00012DE0"/>
    <w:rsid w:val="00013A5C"/>
    <w:rsid w:val="00013F49"/>
    <w:rsid w:val="00014985"/>
    <w:rsid w:val="00014D6F"/>
    <w:rsid w:val="00015027"/>
    <w:rsid w:val="0001536D"/>
    <w:rsid w:val="00016D7B"/>
    <w:rsid w:val="00017055"/>
    <w:rsid w:val="00017680"/>
    <w:rsid w:val="000178DC"/>
    <w:rsid w:val="00017BFC"/>
    <w:rsid w:val="000203C3"/>
    <w:rsid w:val="00020701"/>
    <w:rsid w:val="00020A5A"/>
    <w:rsid w:val="00021EF9"/>
    <w:rsid w:val="00024121"/>
    <w:rsid w:val="000255BB"/>
    <w:rsid w:val="000271DF"/>
    <w:rsid w:val="00030CC5"/>
    <w:rsid w:val="00030F77"/>
    <w:rsid w:val="000313B7"/>
    <w:rsid w:val="00031D81"/>
    <w:rsid w:val="00032266"/>
    <w:rsid w:val="000329CB"/>
    <w:rsid w:val="00032E2E"/>
    <w:rsid w:val="00033950"/>
    <w:rsid w:val="0003429A"/>
    <w:rsid w:val="000351AC"/>
    <w:rsid w:val="000355CF"/>
    <w:rsid w:val="0003594E"/>
    <w:rsid w:val="000379D5"/>
    <w:rsid w:val="00040DD0"/>
    <w:rsid w:val="00041778"/>
    <w:rsid w:val="00042221"/>
    <w:rsid w:val="00042F0E"/>
    <w:rsid w:val="0004390A"/>
    <w:rsid w:val="000445C1"/>
    <w:rsid w:val="00044AC5"/>
    <w:rsid w:val="00045C86"/>
    <w:rsid w:val="00045D86"/>
    <w:rsid w:val="00047A65"/>
    <w:rsid w:val="0005044C"/>
    <w:rsid w:val="00050B98"/>
    <w:rsid w:val="00051483"/>
    <w:rsid w:val="00051638"/>
    <w:rsid w:val="00051E8F"/>
    <w:rsid w:val="00054119"/>
    <w:rsid w:val="0005452E"/>
    <w:rsid w:val="000555F4"/>
    <w:rsid w:val="00055D8D"/>
    <w:rsid w:val="00055E5D"/>
    <w:rsid w:val="000563AD"/>
    <w:rsid w:val="00056A0E"/>
    <w:rsid w:val="00056DD5"/>
    <w:rsid w:val="00057022"/>
    <w:rsid w:val="00057DE1"/>
    <w:rsid w:val="00060DB4"/>
    <w:rsid w:val="0006101D"/>
    <w:rsid w:val="0006120C"/>
    <w:rsid w:val="0006151B"/>
    <w:rsid w:val="00061699"/>
    <w:rsid w:val="000616AE"/>
    <w:rsid w:val="000625D0"/>
    <w:rsid w:val="00062D81"/>
    <w:rsid w:val="00063872"/>
    <w:rsid w:val="00063E86"/>
    <w:rsid w:val="0006401A"/>
    <w:rsid w:val="00064554"/>
    <w:rsid w:val="0006686C"/>
    <w:rsid w:val="0007020F"/>
    <w:rsid w:val="000713DD"/>
    <w:rsid w:val="00071F78"/>
    <w:rsid w:val="000729F5"/>
    <w:rsid w:val="000738F0"/>
    <w:rsid w:val="00073F58"/>
    <w:rsid w:val="00074EDE"/>
    <w:rsid w:val="000753F7"/>
    <w:rsid w:val="00076AA3"/>
    <w:rsid w:val="00077475"/>
    <w:rsid w:val="00081556"/>
    <w:rsid w:val="00081DB1"/>
    <w:rsid w:val="00082043"/>
    <w:rsid w:val="000852D8"/>
    <w:rsid w:val="000853E6"/>
    <w:rsid w:val="0008541B"/>
    <w:rsid w:val="0008679F"/>
    <w:rsid w:val="00087AB2"/>
    <w:rsid w:val="00090616"/>
    <w:rsid w:val="000910A0"/>
    <w:rsid w:val="0009156B"/>
    <w:rsid w:val="000927A6"/>
    <w:rsid w:val="00092BD8"/>
    <w:rsid w:val="000937F2"/>
    <w:rsid w:val="00093AC4"/>
    <w:rsid w:val="00093E5D"/>
    <w:rsid w:val="0009435E"/>
    <w:rsid w:val="0009711B"/>
    <w:rsid w:val="000A00C1"/>
    <w:rsid w:val="000A03A2"/>
    <w:rsid w:val="000A1263"/>
    <w:rsid w:val="000A16FE"/>
    <w:rsid w:val="000A27CD"/>
    <w:rsid w:val="000A2968"/>
    <w:rsid w:val="000A343F"/>
    <w:rsid w:val="000A52B1"/>
    <w:rsid w:val="000A5DC9"/>
    <w:rsid w:val="000A693A"/>
    <w:rsid w:val="000A6EBB"/>
    <w:rsid w:val="000B0365"/>
    <w:rsid w:val="000B044F"/>
    <w:rsid w:val="000B07FA"/>
    <w:rsid w:val="000B26AD"/>
    <w:rsid w:val="000B358E"/>
    <w:rsid w:val="000B3602"/>
    <w:rsid w:val="000B364C"/>
    <w:rsid w:val="000B3C48"/>
    <w:rsid w:val="000B5FF2"/>
    <w:rsid w:val="000B6DAC"/>
    <w:rsid w:val="000C08C8"/>
    <w:rsid w:val="000C0FAE"/>
    <w:rsid w:val="000C15C6"/>
    <w:rsid w:val="000C1FE3"/>
    <w:rsid w:val="000C2257"/>
    <w:rsid w:val="000C3F75"/>
    <w:rsid w:val="000C44A9"/>
    <w:rsid w:val="000C4B7F"/>
    <w:rsid w:val="000C5534"/>
    <w:rsid w:val="000C6875"/>
    <w:rsid w:val="000C6967"/>
    <w:rsid w:val="000C6B09"/>
    <w:rsid w:val="000D133A"/>
    <w:rsid w:val="000D2173"/>
    <w:rsid w:val="000D24B2"/>
    <w:rsid w:val="000D4AC8"/>
    <w:rsid w:val="000D53ED"/>
    <w:rsid w:val="000D6F19"/>
    <w:rsid w:val="000D78A0"/>
    <w:rsid w:val="000D7A77"/>
    <w:rsid w:val="000D7BED"/>
    <w:rsid w:val="000D7EDE"/>
    <w:rsid w:val="000D7F23"/>
    <w:rsid w:val="000E00AE"/>
    <w:rsid w:val="000E0CC5"/>
    <w:rsid w:val="000E0E52"/>
    <w:rsid w:val="000E1B59"/>
    <w:rsid w:val="000E1EA1"/>
    <w:rsid w:val="000E2325"/>
    <w:rsid w:val="000E2EC4"/>
    <w:rsid w:val="000E302D"/>
    <w:rsid w:val="000E3FAE"/>
    <w:rsid w:val="000E4859"/>
    <w:rsid w:val="000E5E41"/>
    <w:rsid w:val="000E5FF6"/>
    <w:rsid w:val="000E6557"/>
    <w:rsid w:val="000E7896"/>
    <w:rsid w:val="000F0251"/>
    <w:rsid w:val="000F0F57"/>
    <w:rsid w:val="000F2848"/>
    <w:rsid w:val="000F29A5"/>
    <w:rsid w:val="000F3E6E"/>
    <w:rsid w:val="000F450F"/>
    <w:rsid w:val="000F4C7B"/>
    <w:rsid w:val="000F5CCC"/>
    <w:rsid w:val="000F70EB"/>
    <w:rsid w:val="000F7A6E"/>
    <w:rsid w:val="00100380"/>
    <w:rsid w:val="00100A78"/>
    <w:rsid w:val="0010210D"/>
    <w:rsid w:val="00102328"/>
    <w:rsid w:val="00102CFB"/>
    <w:rsid w:val="00103402"/>
    <w:rsid w:val="00103570"/>
    <w:rsid w:val="00104BEF"/>
    <w:rsid w:val="0010660C"/>
    <w:rsid w:val="00106AD4"/>
    <w:rsid w:val="00106EDB"/>
    <w:rsid w:val="00110A76"/>
    <w:rsid w:val="00111409"/>
    <w:rsid w:val="001116EF"/>
    <w:rsid w:val="00111F53"/>
    <w:rsid w:val="0011285F"/>
    <w:rsid w:val="00113094"/>
    <w:rsid w:val="001143C6"/>
    <w:rsid w:val="0011446D"/>
    <w:rsid w:val="001145BB"/>
    <w:rsid w:val="00115AE1"/>
    <w:rsid w:val="00116C52"/>
    <w:rsid w:val="00117845"/>
    <w:rsid w:val="00117BD7"/>
    <w:rsid w:val="001202AF"/>
    <w:rsid w:val="00121A1C"/>
    <w:rsid w:val="00122652"/>
    <w:rsid w:val="00123521"/>
    <w:rsid w:val="001239B1"/>
    <w:rsid w:val="00124B66"/>
    <w:rsid w:val="001251A1"/>
    <w:rsid w:val="001255F5"/>
    <w:rsid w:val="00125FBB"/>
    <w:rsid w:val="00127EEA"/>
    <w:rsid w:val="00127F09"/>
    <w:rsid w:val="001304E7"/>
    <w:rsid w:val="00130936"/>
    <w:rsid w:val="00130FC8"/>
    <w:rsid w:val="001310F9"/>
    <w:rsid w:val="00133137"/>
    <w:rsid w:val="001336E9"/>
    <w:rsid w:val="00133C68"/>
    <w:rsid w:val="00133DCE"/>
    <w:rsid w:val="001341AF"/>
    <w:rsid w:val="001344EB"/>
    <w:rsid w:val="00134889"/>
    <w:rsid w:val="00135228"/>
    <w:rsid w:val="00135EF6"/>
    <w:rsid w:val="0013773B"/>
    <w:rsid w:val="00137EFB"/>
    <w:rsid w:val="00140B79"/>
    <w:rsid w:val="001427A6"/>
    <w:rsid w:val="00143379"/>
    <w:rsid w:val="0014344F"/>
    <w:rsid w:val="001436C4"/>
    <w:rsid w:val="00143940"/>
    <w:rsid w:val="0014404B"/>
    <w:rsid w:val="001444B2"/>
    <w:rsid w:val="0014547E"/>
    <w:rsid w:val="00145963"/>
    <w:rsid w:val="00145F21"/>
    <w:rsid w:val="0014603D"/>
    <w:rsid w:val="0014744C"/>
    <w:rsid w:val="0015064E"/>
    <w:rsid w:val="00150CD3"/>
    <w:rsid w:val="001516D1"/>
    <w:rsid w:val="00151C52"/>
    <w:rsid w:val="00153B10"/>
    <w:rsid w:val="00153D22"/>
    <w:rsid w:val="00153EA1"/>
    <w:rsid w:val="00155BA9"/>
    <w:rsid w:val="001569DE"/>
    <w:rsid w:val="00157884"/>
    <w:rsid w:val="00157C4E"/>
    <w:rsid w:val="0016019A"/>
    <w:rsid w:val="00160689"/>
    <w:rsid w:val="001608EB"/>
    <w:rsid w:val="00161E5A"/>
    <w:rsid w:val="00162B4D"/>
    <w:rsid w:val="0016313E"/>
    <w:rsid w:val="00163170"/>
    <w:rsid w:val="00163C69"/>
    <w:rsid w:val="001646C3"/>
    <w:rsid w:val="001651E6"/>
    <w:rsid w:val="00166098"/>
    <w:rsid w:val="00167D33"/>
    <w:rsid w:val="00171176"/>
    <w:rsid w:val="00171A6A"/>
    <w:rsid w:val="00171AD6"/>
    <w:rsid w:val="001721ED"/>
    <w:rsid w:val="001724A5"/>
    <w:rsid w:val="001727BB"/>
    <w:rsid w:val="00172ED7"/>
    <w:rsid w:val="0017302D"/>
    <w:rsid w:val="001732A0"/>
    <w:rsid w:val="001738B6"/>
    <w:rsid w:val="00173E2A"/>
    <w:rsid w:val="00173E90"/>
    <w:rsid w:val="00174036"/>
    <w:rsid w:val="0017500D"/>
    <w:rsid w:val="001762E3"/>
    <w:rsid w:val="0017669B"/>
    <w:rsid w:val="00177A06"/>
    <w:rsid w:val="00180067"/>
    <w:rsid w:val="00181258"/>
    <w:rsid w:val="00181351"/>
    <w:rsid w:val="001817ED"/>
    <w:rsid w:val="00181A35"/>
    <w:rsid w:val="00181CE3"/>
    <w:rsid w:val="00182576"/>
    <w:rsid w:val="00182B0D"/>
    <w:rsid w:val="00182CF3"/>
    <w:rsid w:val="00183A14"/>
    <w:rsid w:val="001840BA"/>
    <w:rsid w:val="001849CE"/>
    <w:rsid w:val="0018560A"/>
    <w:rsid w:val="00185C2C"/>
    <w:rsid w:val="00186F1E"/>
    <w:rsid w:val="00190287"/>
    <w:rsid w:val="00190A0B"/>
    <w:rsid w:val="00191DC5"/>
    <w:rsid w:val="0019351E"/>
    <w:rsid w:val="00193E37"/>
    <w:rsid w:val="0019531E"/>
    <w:rsid w:val="00195604"/>
    <w:rsid w:val="00196470"/>
    <w:rsid w:val="001A0B1C"/>
    <w:rsid w:val="001A23ED"/>
    <w:rsid w:val="001A351D"/>
    <w:rsid w:val="001A397E"/>
    <w:rsid w:val="001A3C8A"/>
    <w:rsid w:val="001A487D"/>
    <w:rsid w:val="001A60BB"/>
    <w:rsid w:val="001A6635"/>
    <w:rsid w:val="001A77ED"/>
    <w:rsid w:val="001A7E43"/>
    <w:rsid w:val="001B0305"/>
    <w:rsid w:val="001B1F01"/>
    <w:rsid w:val="001B2545"/>
    <w:rsid w:val="001B3265"/>
    <w:rsid w:val="001B3681"/>
    <w:rsid w:val="001B4982"/>
    <w:rsid w:val="001B4AF1"/>
    <w:rsid w:val="001B5AF2"/>
    <w:rsid w:val="001B5BAC"/>
    <w:rsid w:val="001B5F49"/>
    <w:rsid w:val="001B751E"/>
    <w:rsid w:val="001C008B"/>
    <w:rsid w:val="001C1D77"/>
    <w:rsid w:val="001C28B0"/>
    <w:rsid w:val="001C2B68"/>
    <w:rsid w:val="001C3278"/>
    <w:rsid w:val="001C3CC5"/>
    <w:rsid w:val="001C50B0"/>
    <w:rsid w:val="001C54A9"/>
    <w:rsid w:val="001C6385"/>
    <w:rsid w:val="001C6695"/>
    <w:rsid w:val="001C6700"/>
    <w:rsid w:val="001D2B65"/>
    <w:rsid w:val="001D2E8A"/>
    <w:rsid w:val="001D339D"/>
    <w:rsid w:val="001D49CD"/>
    <w:rsid w:val="001D5EEB"/>
    <w:rsid w:val="001D7498"/>
    <w:rsid w:val="001D7E72"/>
    <w:rsid w:val="001D7E90"/>
    <w:rsid w:val="001E117C"/>
    <w:rsid w:val="001E18C6"/>
    <w:rsid w:val="001E19D2"/>
    <w:rsid w:val="001E51D4"/>
    <w:rsid w:val="001E6BD2"/>
    <w:rsid w:val="001E7660"/>
    <w:rsid w:val="001F1005"/>
    <w:rsid w:val="001F1045"/>
    <w:rsid w:val="001F13B8"/>
    <w:rsid w:val="001F4067"/>
    <w:rsid w:val="001F41C3"/>
    <w:rsid w:val="001F4A67"/>
    <w:rsid w:val="001F5577"/>
    <w:rsid w:val="001F63D4"/>
    <w:rsid w:val="001F7FD6"/>
    <w:rsid w:val="00200C25"/>
    <w:rsid w:val="002012E3"/>
    <w:rsid w:val="00201864"/>
    <w:rsid w:val="00202304"/>
    <w:rsid w:val="002031BE"/>
    <w:rsid w:val="002033BA"/>
    <w:rsid w:val="0020472B"/>
    <w:rsid w:val="002049D0"/>
    <w:rsid w:val="00205309"/>
    <w:rsid w:val="002063C2"/>
    <w:rsid w:val="00206EE1"/>
    <w:rsid w:val="00207B81"/>
    <w:rsid w:val="00210B74"/>
    <w:rsid w:val="00212C5C"/>
    <w:rsid w:val="00213790"/>
    <w:rsid w:val="002140A2"/>
    <w:rsid w:val="0021450B"/>
    <w:rsid w:val="0021541C"/>
    <w:rsid w:val="002167B4"/>
    <w:rsid w:val="00216B3A"/>
    <w:rsid w:val="002170CE"/>
    <w:rsid w:val="0021777C"/>
    <w:rsid w:val="0022007D"/>
    <w:rsid w:val="002229F6"/>
    <w:rsid w:val="00222D25"/>
    <w:rsid w:val="0022303A"/>
    <w:rsid w:val="0022341B"/>
    <w:rsid w:val="0022424A"/>
    <w:rsid w:val="00225377"/>
    <w:rsid w:val="00226F9E"/>
    <w:rsid w:val="00226FC5"/>
    <w:rsid w:val="00227363"/>
    <w:rsid w:val="002275C9"/>
    <w:rsid w:val="00230169"/>
    <w:rsid w:val="0023065F"/>
    <w:rsid w:val="00231E7E"/>
    <w:rsid w:val="00232323"/>
    <w:rsid w:val="002334EB"/>
    <w:rsid w:val="00233F0C"/>
    <w:rsid w:val="0023762B"/>
    <w:rsid w:val="0023781D"/>
    <w:rsid w:val="00240326"/>
    <w:rsid w:val="00241775"/>
    <w:rsid w:val="0024277B"/>
    <w:rsid w:val="002438C5"/>
    <w:rsid w:val="00244151"/>
    <w:rsid w:val="00244593"/>
    <w:rsid w:val="00245E7C"/>
    <w:rsid w:val="00246236"/>
    <w:rsid w:val="0024787A"/>
    <w:rsid w:val="00250C36"/>
    <w:rsid w:val="0025121A"/>
    <w:rsid w:val="00254085"/>
    <w:rsid w:val="00254B36"/>
    <w:rsid w:val="0025510E"/>
    <w:rsid w:val="00255E33"/>
    <w:rsid w:val="0026058D"/>
    <w:rsid w:val="00260BD0"/>
    <w:rsid w:val="0026158C"/>
    <w:rsid w:val="00262319"/>
    <w:rsid w:val="00262435"/>
    <w:rsid w:val="002624FA"/>
    <w:rsid w:val="00263C4C"/>
    <w:rsid w:val="00265740"/>
    <w:rsid w:val="00266986"/>
    <w:rsid w:val="00266A16"/>
    <w:rsid w:val="0026798E"/>
    <w:rsid w:val="00270536"/>
    <w:rsid w:val="00270771"/>
    <w:rsid w:val="00270EB5"/>
    <w:rsid w:val="00270EF5"/>
    <w:rsid w:val="00271630"/>
    <w:rsid w:val="00271B9E"/>
    <w:rsid w:val="00272865"/>
    <w:rsid w:val="00273F21"/>
    <w:rsid w:val="00273F88"/>
    <w:rsid w:val="00275299"/>
    <w:rsid w:val="00275E7F"/>
    <w:rsid w:val="0027640F"/>
    <w:rsid w:val="0027691A"/>
    <w:rsid w:val="00276E8C"/>
    <w:rsid w:val="00277252"/>
    <w:rsid w:val="00277BCE"/>
    <w:rsid w:val="002809B2"/>
    <w:rsid w:val="00280E7E"/>
    <w:rsid w:val="00281CD6"/>
    <w:rsid w:val="00281FC4"/>
    <w:rsid w:val="00285269"/>
    <w:rsid w:val="00285A4A"/>
    <w:rsid w:val="0028605C"/>
    <w:rsid w:val="00286E12"/>
    <w:rsid w:val="0028755F"/>
    <w:rsid w:val="0029140A"/>
    <w:rsid w:val="002915A2"/>
    <w:rsid w:val="002918CA"/>
    <w:rsid w:val="0029328E"/>
    <w:rsid w:val="002939D5"/>
    <w:rsid w:val="00294B29"/>
    <w:rsid w:val="002953B2"/>
    <w:rsid w:val="00295752"/>
    <w:rsid w:val="002960CA"/>
    <w:rsid w:val="002A01F7"/>
    <w:rsid w:val="002A03CA"/>
    <w:rsid w:val="002A0F66"/>
    <w:rsid w:val="002A1533"/>
    <w:rsid w:val="002A1A45"/>
    <w:rsid w:val="002A2261"/>
    <w:rsid w:val="002A5746"/>
    <w:rsid w:val="002A64BC"/>
    <w:rsid w:val="002A6ADE"/>
    <w:rsid w:val="002A7206"/>
    <w:rsid w:val="002B004F"/>
    <w:rsid w:val="002B00C6"/>
    <w:rsid w:val="002B031A"/>
    <w:rsid w:val="002B0B1D"/>
    <w:rsid w:val="002B27CD"/>
    <w:rsid w:val="002B4A1C"/>
    <w:rsid w:val="002B5936"/>
    <w:rsid w:val="002B61AB"/>
    <w:rsid w:val="002B7277"/>
    <w:rsid w:val="002B7C1D"/>
    <w:rsid w:val="002C24D7"/>
    <w:rsid w:val="002C2693"/>
    <w:rsid w:val="002C2AFD"/>
    <w:rsid w:val="002C2BA8"/>
    <w:rsid w:val="002C301D"/>
    <w:rsid w:val="002C43CD"/>
    <w:rsid w:val="002C521E"/>
    <w:rsid w:val="002C5372"/>
    <w:rsid w:val="002C58DA"/>
    <w:rsid w:val="002C5F11"/>
    <w:rsid w:val="002C61A2"/>
    <w:rsid w:val="002C6F89"/>
    <w:rsid w:val="002C746B"/>
    <w:rsid w:val="002D0CCE"/>
    <w:rsid w:val="002D0F28"/>
    <w:rsid w:val="002D1F39"/>
    <w:rsid w:val="002D2429"/>
    <w:rsid w:val="002D37CE"/>
    <w:rsid w:val="002D5FB1"/>
    <w:rsid w:val="002E068E"/>
    <w:rsid w:val="002E1D74"/>
    <w:rsid w:val="002E2B62"/>
    <w:rsid w:val="002E3673"/>
    <w:rsid w:val="002E56B4"/>
    <w:rsid w:val="002E62F2"/>
    <w:rsid w:val="002E6FEC"/>
    <w:rsid w:val="002F1D82"/>
    <w:rsid w:val="002F3514"/>
    <w:rsid w:val="002F3A83"/>
    <w:rsid w:val="002F44A8"/>
    <w:rsid w:val="002F4751"/>
    <w:rsid w:val="002F4DC1"/>
    <w:rsid w:val="002F5444"/>
    <w:rsid w:val="002F5695"/>
    <w:rsid w:val="002F7B5A"/>
    <w:rsid w:val="00302450"/>
    <w:rsid w:val="00303A5E"/>
    <w:rsid w:val="00306364"/>
    <w:rsid w:val="00306A88"/>
    <w:rsid w:val="0030799D"/>
    <w:rsid w:val="00310166"/>
    <w:rsid w:val="00310CF9"/>
    <w:rsid w:val="00311825"/>
    <w:rsid w:val="00311D4C"/>
    <w:rsid w:val="0031209D"/>
    <w:rsid w:val="00312F14"/>
    <w:rsid w:val="00314B9E"/>
    <w:rsid w:val="00315E34"/>
    <w:rsid w:val="003163CC"/>
    <w:rsid w:val="00316938"/>
    <w:rsid w:val="00316E37"/>
    <w:rsid w:val="003177AA"/>
    <w:rsid w:val="00317916"/>
    <w:rsid w:val="00317D42"/>
    <w:rsid w:val="00320E44"/>
    <w:rsid w:val="00321F37"/>
    <w:rsid w:val="00322696"/>
    <w:rsid w:val="00326269"/>
    <w:rsid w:val="0032641A"/>
    <w:rsid w:val="00326759"/>
    <w:rsid w:val="00327090"/>
    <w:rsid w:val="00327200"/>
    <w:rsid w:val="00330957"/>
    <w:rsid w:val="00330A4E"/>
    <w:rsid w:val="00332948"/>
    <w:rsid w:val="00332A1B"/>
    <w:rsid w:val="00332D76"/>
    <w:rsid w:val="00333473"/>
    <w:rsid w:val="00334AB3"/>
    <w:rsid w:val="00335B5D"/>
    <w:rsid w:val="00335DE3"/>
    <w:rsid w:val="00336C11"/>
    <w:rsid w:val="0033711F"/>
    <w:rsid w:val="00337F9C"/>
    <w:rsid w:val="0034051F"/>
    <w:rsid w:val="00340D6F"/>
    <w:rsid w:val="00341395"/>
    <w:rsid w:val="003413D5"/>
    <w:rsid w:val="003441FD"/>
    <w:rsid w:val="00344C76"/>
    <w:rsid w:val="00345274"/>
    <w:rsid w:val="00351124"/>
    <w:rsid w:val="003527EB"/>
    <w:rsid w:val="00352A67"/>
    <w:rsid w:val="003539AE"/>
    <w:rsid w:val="00353B70"/>
    <w:rsid w:val="00355E26"/>
    <w:rsid w:val="003562A1"/>
    <w:rsid w:val="00356C06"/>
    <w:rsid w:val="00357ED5"/>
    <w:rsid w:val="00360C74"/>
    <w:rsid w:val="00360C83"/>
    <w:rsid w:val="003626B3"/>
    <w:rsid w:val="00363F68"/>
    <w:rsid w:val="00364B8D"/>
    <w:rsid w:val="0036680C"/>
    <w:rsid w:val="003705A4"/>
    <w:rsid w:val="00370970"/>
    <w:rsid w:val="00371219"/>
    <w:rsid w:val="003717B0"/>
    <w:rsid w:val="0037204A"/>
    <w:rsid w:val="003730F5"/>
    <w:rsid w:val="003735CA"/>
    <w:rsid w:val="00373D2C"/>
    <w:rsid w:val="00374FAB"/>
    <w:rsid w:val="00376153"/>
    <w:rsid w:val="00376D91"/>
    <w:rsid w:val="003805FF"/>
    <w:rsid w:val="00380E92"/>
    <w:rsid w:val="00380F45"/>
    <w:rsid w:val="003813E7"/>
    <w:rsid w:val="00381672"/>
    <w:rsid w:val="00381917"/>
    <w:rsid w:val="003834F7"/>
    <w:rsid w:val="003863A4"/>
    <w:rsid w:val="003867C8"/>
    <w:rsid w:val="00386B73"/>
    <w:rsid w:val="00387119"/>
    <w:rsid w:val="00387914"/>
    <w:rsid w:val="00387ABF"/>
    <w:rsid w:val="003906C5"/>
    <w:rsid w:val="00390B1A"/>
    <w:rsid w:val="0039160D"/>
    <w:rsid w:val="0039178F"/>
    <w:rsid w:val="0039232D"/>
    <w:rsid w:val="00392BCD"/>
    <w:rsid w:val="00392F43"/>
    <w:rsid w:val="00393AFF"/>
    <w:rsid w:val="003945AC"/>
    <w:rsid w:val="003945C6"/>
    <w:rsid w:val="003948D0"/>
    <w:rsid w:val="00394A3F"/>
    <w:rsid w:val="00395B03"/>
    <w:rsid w:val="00395DB5"/>
    <w:rsid w:val="003A0D37"/>
    <w:rsid w:val="003A0EAA"/>
    <w:rsid w:val="003A152B"/>
    <w:rsid w:val="003A163E"/>
    <w:rsid w:val="003A329F"/>
    <w:rsid w:val="003A3E8E"/>
    <w:rsid w:val="003A5D93"/>
    <w:rsid w:val="003A5DD6"/>
    <w:rsid w:val="003A61F3"/>
    <w:rsid w:val="003A6C5B"/>
    <w:rsid w:val="003A7B67"/>
    <w:rsid w:val="003A7D2B"/>
    <w:rsid w:val="003B0630"/>
    <w:rsid w:val="003B13A3"/>
    <w:rsid w:val="003B1B3A"/>
    <w:rsid w:val="003B2B7C"/>
    <w:rsid w:val="003B2E36"/>
    <w:rsid w:val="003B3C6B"/>
    <w:rsid w:val="003B3DB4"/>
    <w:rsid w:val="003B4B64"/>
    <w:rsid w:val="003B4E76"/>
    <w:rsid w:val="003B5314"/>
    <w:rsid w:val="003B7D0B"/>
    <w:rsid w:val="003B7EE7"/>
    <w:rsid w:val="003C1AE4"/>
    <w:rsid w:val="003C2E39"/>
    <w:rsid w:val="003C367D"/>
    <w:rsid w:val="003C3A17"/>
    <w:rsid w:val="003C440F"/>
    <w:rsid w:val="003C4AB4"/>
    <w:rsid w:val="003C5615"/>
    <w:rsid w:val="003C661A"/>
    <w:rsid w:val="003C66E7"/>
    <w:rsid w:val="003C6C26"/>
    <w:rsid w:val="003C7298"/>
    <w:rsid w:val="003C7AB7"/>
    <w:rsid w:val="003C7B78"/>
    <w:rsid w:val="003C7DD1"/>
    <w:rsid w:val="003D05AF"/>
    <w:rsid w:val="003D073D"/>
    <w:rsid w:val="003D4218"/>
    <w:rsid w:val="003D4656"/>
    <w:rsid w:val="003D472B"/>
    <w:rsid w:val="003D4B15"/>
    <w:rsid w:val="003D4D4A"/>
    <w:rsid w:val="003D4E2A"/>
    <w:rsid w:val="003D571A"/>
    <w:rsid w:val="003D6146"/>
    <w:rsid w:val="003E011B"/>
    <w:rsid w:val="003E0BB3"/>
    <w:rsid w:val="003E0F61"/>
    <w:rsid w:val="003E2540"/>
    <w:rsid w:val="003E2572"/>
    <w:rsid w:val="003E3274"/>
    <w:rsid w:val="003E3829"/>
    <w:rsid w:val="003E5732"/>
    <w:rsid w:val="003E5E8A"/>
    <w:rsid w:val="003E69A5"/>
    <w:rsid w:val="003E6F17"/>
    <w:rsid w:val="003E7BDE"/>
    <w:rsid w:val="003F00F1"/>
    <w:rsid w:val="003F0C83"/>
    <w:rsid w:val="003F11AC"/>
    <w:rsid w:val="003F2199"/>
    <w:rsid w:val="003F2547"/>
    <w:rsid w:val="003F387B"/>
    <w:rsid w:val="003F3958"/>
    <w:rsid w:val="003F3A05"/>
    <w:rsid w:val="003F4629"/>
    <w:rsid w:val="003F5A79"/>
    <w:rsid w:val="003F5D01"/>
    <w:rsid w:val="003F76AF"/>
    <w:rsid w:val="003F76D0"/>
    <w:rsid w:val="003F7F8D"/>
    <w:rsid w:val="004016B3"/>
    <w:rsid w:val="00401E5C"/>
    <w:rsid w:val="004023CD"/>
    <w:rsid w:val="00402C8D"/>
    <w:rsid w:val="00402CC7"/>
    <w:rsid w:val="004046C8"/>
    <w:rsid w:val="00404894"/>
    <w:rsid w:val="00405154"/>
    <w:rsid w:val="004051C6"/>
    <w:rsid w:val="00406AD9"/>
    <w:rsid w:val="00406D99"/>
    <w:rsid w:val="00406FC0"/>
    <w:rsid w:val="00407032"/>
    <w:rsid w:val="00407437"/>
    <w:rsid w:val="00410112"/>
    <w:rsid w:val="004104C1"/>
    <w:rsid w:val="004127C4"/>
    <w:rsid w:val="0041332D"/>
    <w:rsid w:val="00413A1E"/>
    <w:rsid w:val="00413B7A"/>
    <w:rsid w:val="00413C4C"/>
    <w:rsid w:val="00413D0E"/>
    <w:rsid w:val="0041521C"/>
    <w:rsid w:val="004166C4"/>
    <w:rsid w:val="00416AC5"/>
    <w:rsid w:val="00420110"/>
    <w:rsid w:val="00420201"/>
    <w:rsid w:val="00420DC6"/>
    <w:rsid w:val="00421723"/>
    <w:rsid w:val="00422C3B"/>
    <w:rsid w:val="00423FCD"/>
    <w:rsid w:val="004240DC"/>
    <w:rsid w:val="0042507E"/>
    <w:rsid w:val="004255AC"/>
    <w:rsid w:val="004263FD"/>
    <w:rsid w:val="00426A3F"/>
    <w:rsid w:val="00426FE6"/>
    <w:rsid w:val="004277E7"/>
    <w:rsid w:val="004302C8"/>
    <w:rsid w:val="00430647"/>
    <w:rsid w:val="0043089D"/>
    <w:rsid w:val="00430BBC"/>
    <w:rsid w:val="00430F48"/>
    <w:rsid w:val="00431473"/>
    <w:rsid w:val="00431BD2"/>
    <w:rsid w:val="00432044"/>
    <w:rsid w:val="004320F4"/>
    <w:rsid w:val="00433B3D"/>
    <w:rsid w:val="00433CC7"/>
    <w:rsid w:val="004407FD"/>
    <w:rsid w:val="004420AE"/>
    <w:rsid w:val="004426C2"/>
    <w:rsid w:val="00443E59"/>
    <w:rsid w:val="00444607"/>
    <w:rsid w:val="00445A74"/>
    <w:rsid w:val="00446645"/>
    <w:rsid w:val="00446735"/>
    <w:rsid w:val="0045249B"/>
    <w:rsid w:val="00452550"/>
    <w:rsid w:val="00452FA2"/>
    <w:rsid w:val="004531CE"/>
    <w:rsid w:val="00453379"/>
    <w:rsid w:val="0045347F"/>
    <w:rsid w:val="00453D77"/>
    <w:rsid w:val="00453F20"/>
    <w:rsid w:val="00454362"/>
    <w:rsid w:val="00455547"/>
    <w:rsid w:val="00455F92"/>
    <w:rsid w:val="00456885"/>
    <w:rsid w:val="0045749D"/>
    <w:rsid w:val="00460337"/>
    <w:rsid w:val="0046050E"/>
    <w:rsid w:val="004607EA"/>
    <w:rsid w:val="004623F6"/>
    <w:rsid w:val="00463F81"/>
    <w:rsid w:val="00465040"/>
    <w:rsid w:val="004650BE"/>
    <w:rsid w:val="0046561F"/>
    <w:rsid w:val="0046645B"/>
    <w:rsid w:val="00466E5E"/>
    <w:rsid w:val="004672F4"/>
    <w:rsid w:val="0046763A"/>
    <w:rsid w:val="00467B44"/>
    <w:rsid w:val="004701C9"/>
    <w:rsid w:val="004701E0"/>
    <w:rsid w:val="00470821"/>
    <w:rsid w:val="00471BDE"/>
    <w:rsid w:val="00471C0E"/>
    <w:rsid w:val="004764D9"/>
    <w:rsid w:val="00477380"/>
    <w:rsid w:val="00477A4C"/>
    <w:rsid w:val="00477A9B"/>
    <w:rsid w:val="004804E6"/>
    <w:rsid w:val="00482A10"/>
    <w:rsid w:val="00483327"/>
    <w:rsid w:val="00483547"/>
    <w:rsid w:val="0048355B"/>
    <w:rsid w:val="00483AB8"/>
    <w:rsid w:val="0048498D"/>
    <w:rsid w:val="00485038"/>
    <w:rsid w:val="0048517A"/>
    <w:rsid w:val="004856E7"/>
    <w:rsid w:val="004861FC"/>
    <w:rsid w:val="0048696E"/>
    <w:rsid w:val="00486EA4"/>
    <w:rsid w:val="00487D32"/>
    <w:rsid w:val="00490218"/>
    <w:rsid w:val="004913AF"/>
    <w:rsid w:val="00491D46"/>
    <w:rsid w:val="00491FD7"/>
    <w:rsid w:val="0049256B"/>
    <w:rsid w:val="00494A39"/>
    <w:rsid w:val="00494B4E"/>
    <w:rsid w:val="00495670"/>
    <w:rsid w:val="00495E7C"/>
    <w:rsid w:val="00497127"/>
    <w:rsid w:val="0049728B"/>
    <w:rsid w:val="00497502"/>
    <w:rsid w:val="0049770A"/>
    <w:rsid w:val="00497CE2"/>
    <w:rsid w:val="004A076F"/>
    <w:rsid w:val="004A0BDD"/>
    <w:rsid w:val="004A1687"/>
    <w:rsid w:val="004A1C07"/>
    <w:rsid w:val="004A2155"/>
    <w:rsid w:val="004A248D"/>
    <w:rsid w:val="004A2A42"/>
    <w:rsid w:val="004A2E2E"/>
    <w:rsid w:val="004A3160"/>
    <w:rsid w:val="004A33A4"/>
    <w:rsid w:val="004A3EBF"/>
    <w:rsid w:val="004A47E5"/>
    <w:rsid w:val="004A59DE"/>
    <w:rsid w:val="004A6597"/>
    <w:rsid w:val="004B1D55"/>
    <w:rsid w:val="004B266D"/>
    <w:rsid w:val="004B26FE"/>
    <w:rsid w:val="004B2C99"/>
    <w:rsid w:val="004B44A1"/>
    <w:rsid w:val="004B5F97"/>
    <w:rsid w:val="004B6E50"/>
    <w:rsid w:val="004B72E7"/>
    <w:rsid w:val="004C0771"/>
    <w:rsid w:val="004C1997"/>
    <w:rsid w:val="004C2912"/>
    <w:rsid w:val="004C3221"/>
    <w:rsid w:val="004C3CA4"/>
    <w:rsid w:val="004C4069"/>
    <w:rsid w:val="004C4D72"/>
    <w:rsid w:val="004C58F3"/>
    <w:rsid w:val="004C6F27"/>
    <w:rsid w:val="004C715F"/>
    <w:rsid w:val="004C7925"/>
    <w:rsid w:val="004D13ED"/>
    <w:rsid w:val="004D1EAF"/>
    <w:rsid w:val="004D404B"/>
    <w:rsid w:val="004D60AE"/>
    <w:rsid w:val="004D65D0"/>
    <w:rsid w:val="004D6A70"/>
    <w:rsid w:val="004D6E42"/>
    <w:rsid w:val="004D72E7"/>
    <w:rsid w:val="004D77AA"/>
    <w:rsid w:val="004D7924"/>
    <w:rsid w:val="004E0994"/>
    <w:rsid w:val="004E0AAA"/>
    <w:rsid w:val="004E1E7E"/>
    <w:rsid w:val="004E26E0"/>
    <w:rsid w:val="004E32AF"/>
    <w:rsid w:val="004E3461"/>
    <w:rsid w:val="004E3747"/>
    <w:rsid w:val="004E3AAC"/>
    <w:rsid w:val="004E3AAD"/>
    <w:rsid w:val="004E51EC"/>
    <w:rsid w:val="004E7099"/>
    <w:rsid w:val="004E7288"/>
    <w:rsid w:val="004E77FF"/>
    <w:rsid w:val="004E7A71"/>
    <w:rsid w:val="004E7FA2"/>
    <w:rsid w:val="004F018A"/>
    <w:rsid w:val="004F1BD3"/>
    <w:rsid w:val="004F22E5"/>
    <w:rsid w:val="004F35A0"/>
    <w:rsid w:val="004F37BB"/>
    <w:rsid w:val="004F477D"/>
    <w:rsid w:val="004F6974"/>
    <w:rsid w:val="004F7D32"/>
    <w:rsid w:val="005006A9"/>
    <w:rsid w:val="00500D6F"/>
    <w:rsid w:val="00501FFF"/>
    <w:rsid w:val="00502783"/>
    <w:rsid w:val="0050308E"/>
    <w:rsid w:val="0050364D"/>
    <w:rsid w:val="00503A2D"/>
    <w:rsid w:val="005048F5"/>
    <w:rsid w:val="00504C05"/>
    <w:rsid w:val="0050710C"/>
    <w:rsid w:val="00507EE2"/>
    <w:rsid w:val="00510899"/>
    <w:rsid w:val="005109F1"/>
    <w:rsid w:val="005150E3"/>
    <w:rsid w:val="00515190"/>
    <w:rsid w:val="00516739"/>
    <w:rsid w:val="00516D77"/>
    <w:rsid w:val="0052056A"/>
    <w:rsid w:val="00520825"/>
    <w:rsid w:val="00521AEA"/>
    <w:rsid w:val="00521BA3"/>
    <w:rsid w:val="00523775"/>
    <w:rsid w:val="005242EC"/>
    <w:rsid w:val="00525571"/>
    <w:rsid w:val="00526E19"/>
    <w:rsid w:val="00527DBF"/>
    <w:rsid w:val="00530E91"/>
    <w:rsid w:val="00530FA5"/>
    <w:rsid w:val="00531369"/>
    <w:rsid w:val="005315C2"/>
    <w:rsid w:val="005334DC"/>
    <w:rsid w:val="00533BD4"/>
    <w:rsid w:val="005350F4"/>
    <w:rsid w:val="00535816"/>
    <w:rsid w:val="00535FC8"/>
    <w:rsid w:val="00536801"/>
    <w:rsid w:val="00537187"/>
    <w:rsid w:val="00540C54"/>
    <w:rsid w:val="00542381"/>
    <w:rsid w:val="00542D9E"/>
    <w:rsid w:val="00543110"/>
    <w:rsid w:val="00544891"/>
    <w:rsid w:val="00545506"/>
    <w:rsid w:val="005457DE"/>
    <w:rsid w:val="0054651E"/>
    <w:rsid w:val="0054662C"/>
    <w:rsid w:val="005474B3"/>
    <w:rsid w:val="005500AC"/>
    <w:rsid w:val="00550FF1"/>
    <w:rsid w:val="005516C5"/>
    <w:rsid w:val="00552C45"/>
    <w:rsid w:val="00554204"/>
    <w:rsid w:val="00554579"/>
    <w:rsid w:val="00554626"/>
    <w:rsid w:val="00554BC8"/>
    <w:rsid w:val="00554C11"/>
    <w:rsid w:val="00555217"/>
    <w:rsid w:val="005559FC"/>
    <w:rsid w:val="00556E30"/>
    <w:rsid w:val="005571AE"/>
    <w:rsid w:val="00557736"/>
    <w:rsid w:val="005578BB"/>
    <w:rsid w:val="005600FF"/>
    <w:rsid w:val="00560642"/>
    <w:rsid w:val="00560C55"/>
    <w:rsid w:val="00560F55"/>
    <w:rsid w:val="00562195"/>
    <w:rsid w:val="005636E2"/>
    <w:rsid w:val="00566036"/>
    <w:rsid w:val="00570389"/>
    <w:rsid w:val="0057106A"/>
    <w:rsid w:val="00571D1C"/>
    <w:rsid w:val="00571FBD"/>
    <w:rsid w:val="005725D7"/>
    <w:rsid w:val="005730C8"/>
    <w:rsid w:val="00573ED2"/>
    <w:rsid w:val="00574C2D"/>
    <w:rsid w:val="005750A0"/>
    <w:rsid w:val="005751BE"/>
    <w:rsid w:val="00575CBF"/>
    <w:rsid w:val="00576A36"/>
    <w:rsid w:val="00580883"/>
    <w:rsid w:val="0058088C"/>
    <w:rsid w:val="00581A90"/>
    <w:rsid w:val="00581A9A"/>
    <w:rsid w:val="00581B86"/>
    <w:rsid w:val="00581EAE"/>
    <w:rsid w:val="00582588"/>
    <w:rsid w:val="005825C9"/>
    <w:rsid w:val="0058299B"/>
    <w:rsid w:val="00583157"/>
    <w:rsid w:val="0058321C"/>
    <w:rsid w:val="0058369F"/>
    <w:rsid w:val="00583AA0"/>
    <w:rsid w:val="00583DD8"/>
    <w:rsid w:val="00584C0D"/>
    <w:rsid w:val="0058514F"/>
    <w:rsid w:val="0058638B"/>
    <w:rsid w:val="00586E39"/>
    <w:rsid w:val="00590298"/>
    <w:rsid w:val="0059039D"/>
    <w:rsid w:val="00590D50"/>
    <w:rsid w:val="00591190"/>
    <w:rsid w:val="005941A4"/>
    <w:rsid w:val="00594DB7"/>
    <w:rsid w:val="005952BA"/>
    <w:rsid w:val="00595BEE"/>
    <w:rsid w:val="0059637F"/>
    <w:rsid w:val="00597106"/>
    <w:rsid w:val="005A0E8F"/>
    <w:rsid w:val="005A1FF0"/>
    <w:rsid w:val="005A2C2E"/>
    <w:rsid w:val="005A38EC"/>
    <w:rsid w:val="005A42C7"/>
    <w:rsid w:val="005A4335"/>
    <w:rsid w:val="005A52CE"/>
    <w:rsid w:val="005A6CC3"/>
    <w:rsid w:val="005A6EAC"/>
    <w:rsid w:val="005A77E8"/>
    <w:rsid w:val="005A7994"/>
    <w:rsid w:val="005B0170"/>
    <w:rsid w:val="005B1D0A"/>
    <w:rsid w:val="005B1FAF"/>
    <w:rsid w:val="005B295D"/>
    <w:rsid w:val="005B2D86"/>
    <w:rsid w:val="005B5B3A"/>
    <w:rsid w:val="005B5BF6"/>
    <w:rsid w:val="005B60B9"/>
    <w:rsid w:val="005C16FD"/>
    <w:rsid w:val="005C1C42"/>
    <w:rsid w:val="005C25CB"/>
    <w:rsid w:val="005C30BA"/>
    <w:rsid w:val="005C4892"/>
    <w:rsid w:val="005C4935"/>
    <w:rsid w:val="005C58FF"/>
    <w:rsid w:val="005C5925"/>
    <w:rsid w:val="005C5ABF"/>
    <w:rsid w:val="005C5B59"/>
    <w:rsid w:val="005C787E"/>
    <w:rsid w:val="005D083E"/>
    <w:rsid w:val="005D1655"/>
    <w:rsid w:val="005D2285"/>
    <w:rsid w:val="005D40D0"/>
    <w:rsid w:val="005D489B"/>
    <w:rsid w:val="005D61B5"/>
    <w:rsid w:val="005D6550"/>
    <w:rsid w:val="005D77A4"/>
    <w:rsid w:val="005D7C3A"/>
    <w:rsid w:val="005E0610"/>
    <w:rsid w:val="005E088B"/>
    <w:rsid w:val="005E16A4"/>
    <w:rsid w:val="005E206D"/>
    <w:rsid w:val="005E231D"/>
    <w:rsid w:val="005E30E5"/>
    <w:rsid w:val="005E3E47"/>
    <w:rsid w:val="005E3E90"/>
    <w:rsid w:val="005E4B86"/>
    <w:rsid w:val="005E4FF6"/>
    <w:rsid w:val="005E5E8C"/>
    <w:rsid w:val="005F023E"/>
    <w:rsid w:val="005F240B"/>
    <w:rsid w:val="005F48BD"/>
    <w:rsid w:val="005F6C65"/>
    <w:rsid w:val="005F7185"/>
    <w:rsid w:val="005F7385"/>
    <w:rsid w:val="006020B6"/>
    <w:rsid w:val="006020FB"/>
    <w:rsid w:val="0060235F"/>
    <w:rsid w:val="006033E5"/>
    <w:rsid w:val="00604817"/>
    <w:rsid w:val="00604A73"/>
    <w:rsid w:val="00604ADA"/>
    <w:rsid w:val="0060573D"/>
    <w:rsid w:val="006057DE"/>
    <w:rsid w:val="00605A51"/>
    <w:rsid w:val="006074A2"/>
    <w:rsid w:val="006076EA"/>
    <w:rsid w:val="00610674"/>
    <w:rsid w:val="006130FE"/>
    <w:rsid w:val="006131A4"/>
    <w:rsid w:val="0061344F"/>
    <w:rsid w:val="0061462D"/>
    <w:rsid w:val="006150C3"/>
    <w:rsid w:val="00615444"/>
    <w:rsid w:val="0061693A"/>
    <w:rsid w:val="00616A98"/>
    <w:rsid w:val="00616D72"/>
    <w:rsid w:val="0061778B"/>
    <w:rsid w:val="00620873"/>
    <w:rsid w:val="006208D4"/>
    <w:rsid w:val="00621D9E"/>
    <w:rsid w:val="006240AC"/>
    <w:rsid w:val="00625AAA"/>
    <w:rsid w:val="00625E72"/>
    <w:rsid w:val="00626278"/>
    <w:rsid w:val="00626284"/>
    <w:rsid w:val="00626619"/>
    <w:rsid w:val="00630B37"/>
    <w:rsid w:val="006317EB"/>
    <w:rsid w:val="00632EDF"/>
    <w:rsid w:val="00632F05"/>
    <w:rsid w:val="0063395C"/>
    <w:rsid w:val="00633F54"/>
    <w:rsid w:val="0063487E"/>
    <w:rsid w:val="006357BD"/>
    <w:rsid w:val="0063677D"/>
    <w:rsid w:val="00637B0F"/>
    <w:rsid w:val="0064047A"/>
    <w:rsid w:val="00640684"/>
    <w:rsid w:val="00641101"/>
    <w:rsid w:val="0064122E"/>
    <w:rsid w:val="006422C5"/>
    <w:rsid w:val="006432E5"/>
    <w:rsid w:val="00643690"/>
    <w:rsid w:val="00645745"/>
    <w:rsid w:val="006459BD"/>
    <w:rsid w:val="00645DCF"/>
    <w:rsid w:val="00645E7E"/>
    <w:rsid w:val="00646B35"/>
    <w:rsid w:val="00646DBF"/>
    <w:rsid w:val="0065037B"/>
    <w:rsid w:val="0065079E"/>
    <w:rsid w:val="00650E0E"/>
    <w:rsid w:val="00652AD9"/>
    <w:rsid w:val="0065328E"/>
    <w:rsid w:val="006532BB"/>
    <w:rsid w:val="006548CE"/>
    <w:rsid w:val="00654A1A"/>
    <w:rsid w:val="00656085"/>
    <w:rsid w:val="00656247"/>
    <w:rsid w:val="00656932"/>
    <w:rsid w:val="00657237"/>
    <w:rsid w:val="0066000E"/>
    <w:rsid w:val="00660AD3"/>
    <w:rsid w:val="00661AC0"/>
    <w:rsid w:val="00661E3D"/>
    <w:rsid w:val="0066287F"/>
    <w:rsid w:val="00666A9A"/>
    <w:rsid w:val="00667685"/>
    <w:rsid w:val="006677C1"/>
    <w:rsid w:val="006703AF"/>
    <w:rsid w:val="00672E20"/>
    <w:rsid w:val="00673B0E"/>
    <w:rsid w:val="0067598E"/>
    <w:rsid w:val="0067699C"/>
    <w:rsid w:val="00677142"/>
    <w:rsid w:val="00680294"/>
    <w:rsid w:val="00680F07"/>
    <w:rsid w:val="006812F9"/>
    <w:rsid w:val="00681787"/>
    <w:rsid w:val="0068179E"/>
    <w:rsid w:val="006827C9"/>
    <w:rsid w:val="00683628"/>
    <w:rsid w:val="00683B39"/>
    <w:rsid w:val="00685702"/>
    <w:rsid w:val="0068588F"/>
    <w:rsid w:val="006863BA"/>
    <w:rsid w:val="0068660F"/>
    <w:rsid w:val="00686703"/>
    <w:rsid w:val="0068683E"/>
    <w:rsid w:val="006870D5"/>
    <w:rsid w:val="00687B41"/>
    <w:rsid w:val="006904CC"/>
    <w:rsid w:val="00690752"/>
    <w:rsid w:val="00690E8D"/>
    <w:rsid w:val="00690FC1"/>
    <w:rsid w:val="00692B72"/>
    <w:rsid w:val="00692E74"/>
    <w:rsid w:val="0069313C"/>
    <w:rsid w:val="00694211"/>
    <w:rsid w:val="00694B46"/>
    <w:rsid w:val="0069536D"/>
    <w:rsid w:val="00695DCA"/>
    <w:rsid w:val="00696D25"/>
    <w:rsid w:val="0069784A"/>
    <w:rsid w:val="00697D3E"/>
    <w:rsid w:val="00697D66"/>
    <w:rsid w:val="006A00BB"/>
    <w:rsid w:val="006A0C00"/>
    <w:rsid w:val="006A174F"/>
    <w:rsid w:val="006A2403"/>
    <w:rsid w:val="006A279A"/>
    <w:rsid w:val="006A3178"/>
    <w:rsid w:val="006A31D0"/>
    <w:rsid w:val="006A3DA6"/>
    <w:rsid w:val="006B0BCA"/>
    <w:rsid w:val="006B0DFA"/>
    <w:rsid w:val="006B0E62"/>
    <w:rsid w:val="006B3032"/>
    <w:rsid w:val="006B395C"/>
    <w:rsid w:val="006B445E"/>
    <w:rsid w:val="006B50D8"/>
    <w:rsid w:val="006B6387"/>
    <w:rsid w:val="006B68B3"/>
    <w:rsid w:val="006C0E7D"/>
    <w:rsid w:val="006C21E3"/>
    <w:rsid w:val="006C2B5E"/>
    <w:rsid w:val="006C45AF"/>
    <w:rsid w:val="006C4CA4"/>
    <w:rsid w:val="006C59D3"/>
    <w:rsid w:val="006C6369"/>
    <w:rsid w:val="006C7A85"/>
    <w:rsid w:val="006D108C"/>
    <w:rsid w:val="006D16A9"/>
    <w:rsid w:val="006D3021"/>
    <w:rsid w:val="006D3CEC"/>
    <w:rsid w:val="006D4AE1"/>
    <w:rsid w:val="006D53BE"/>
    <w:rsid w:val="006D5610"/>
    <w:rsid w:val="006D5C80"/>
    <w:rsid w:val="006D5DAA"/>
    <w:rsid w:val="006D5DCC"/>
    <w:rsid w:val="006D5F29"/>
    <w:rsid w:val="006D6381"/>
    <w:rsid w:val="006D65D7"/>
    <w:rsid w:val="006E0621"/>
    <w:rsid w:val="006E280A"/>
    <w:rsid w:val="006E2874"/>
    <w:rsid w:val="006E43EE"/>
    <w:rsid w:val="006E50F5"/>
    <w:rsid w:val="006E5B73"/>
    <w:rsid w:val="006E6280"/>
    <w:rsid w:val="006E780C"/>
    <w:rsid w:val="006E780E"/>
    <w:rsid w:val="006E798E"/>
    <w:rsid w:val="006F053A"/>
    <w:rsid w:val="006F0883"/>
    <w:rsid w:val="006F08C4"/>
    <w:rsid w:val="006F0B15"/>
    <w:rsid w:val="006F1CEF"/>
    <w:rsid w:val="006F2904"/>
    <w:rsid w:val="006F2E28"/>
    <w:rsid w:val="006F37AA"/>
    <w:rsid w:val="006F3ADC"/>
    <w:rsid w:val="006F516B"/>
    <w:rsid w:val="006F5658"/>
    <w:rsid w:val="006F57E2"/>
    <w:rsid w:val="006F6106"/>
    <w:rsid w:val="006F6AAB"/>
    <w:rsid w:val="006F6CB4"/>
    <w:rsid w:val="00700382"/>
    <w:rsid w:val="00700490"/>
    <w:rsid w:val="007014B5"/>
    <w:rsid w:val="00702F04"/>
    <w:rsid w:val="00703117"/>
    <w:rsid w:val="00703972"/>
    <w:rsid w:val="00703C28"/>
    <w:rsid w:val="00703CBD"/>
    <w:rsid w:val="007045AC"/>
    <w:rsid w:val="00705008"/>
    <w:rsid w:val="00706C63"/>
    <w:rsid w:val="00706DB7"/>
    <w:rsid w:val="00707733"/>
    <w:rsid w:val="007107B3"/>
    <w:rsid w:val="00711044"/>
    <w:rsid w:val="00711206"/>
    <w:rsid w:val="00711A2D"/>
    <w:rsid w:val="00713D5D"/>
    <w:rsid w:val="00714D88"/>
    <w:rsid w:val="007150AA"/>
    <w:rsid w:val="00716565"/>
    <w:rsid w:val="00720471"/>
    <w:rsid w:val="007213AF"/>
    <w:rsid w:val="007218AB"/>
    <w:rsid w:val="007252F1"/>
    <w:rsid w:val="00725AC0"/>
    <w:rsid w:val="00726BB4"/>
    <w:rsid w:val="00726CA4"/>
    <w:rsid w:val="00727573"/>
    <w:rsid w:val="00731B4E"/>
    <w:rsid w:val="00732BFE"/>
    <w:rsid w:val="00734828"/>
    <w:rsid w:val="007356AF"/>
    <w:rsid w:val="00736760"/>
    <w:rsid w:val="00736D5E"/>
    <w:rsid w:val="007378D1"/>
    <w:rsid w:val="007405FD"/>
    <w:rsid w:val="00740EB0"/>
    <w:rsid w:val="007415E9"/>
    <w:rsid w:val="00741972"/>
    <w:rsid w:val="00743074"/>
    <w:rsid w:val="00743461"/>
    <w:rsid w:val="0074417B"/>
    <w:rsid w:val="007444BB"/>
    <w:rsid w:val="00746349"/>
    <w:rsid w:val="00751553"/>
    <w:rsid w:val="00751ED2"/>
    <w:rsid w:val="007559E2"/>
    <w:rsid w:val="00756230"/>
    <w:rsid w:val="00756650"/>
    <w:rsid w:val="00757D8A"/>
    <w:rsid w:val="00757E51"/>
    <w:rsid w:val="00757F5F"/>
    <w:rsid w:val="0076049B"/>
    <w:rsid w:val="00760628"/>
    <w:rsid w:val="00760AD5"/>
    <w:rsid w:val="00760DE8"/>
    <w:rsid w:val="00762BBD"/>
    <w:rsid w:val="00762BE9"/>
    <w:rsid w:val="00762D14"/>
    <w:rsid w:val="00763570"/>
    <w:rsid w:val="007650F9"/>
    <w:rsid w:val="0076570E"/>
    <w:rsid w:val="0076590B"/>
    <w:rsid w:val="00765F7C"/>
    <w:rsid w:val="007668B8"/>
    <w:rsid w:val="00766C71"/>
    <w:rsid w:val="007678C5"/>
    <w:rsid w:val="00770B55"/>
    <w:rsid w:val="00770EAA"/>
    <w:rsid w:val="00771536"/>
    <w:rsid w:val="007717DC"/>
    <w:rsid w:val="00772494"/>
    <w:rsid w:val="00772BA7"/>
    <w:rsid w:val="00773D31"/>
    <w:rsid w:val="0077442E"/>
    <w:rsid w:val="007758E2"/>
    <w:rsid w:val="007771BE"/>
    <w:rsid w:val="007809BF"/>
    <w:rsid w:val="00781135"/>
    <w:rsid w:val="0078138B"/>
    <w:rsid w:val="00781DCE"/>
    <w:rsid w:val="00782CE3"/>
    <w:rsid w:val="0078308E"/>
    <w:rsid w:val="007831A0"/>
    <w:rsid w:val="0078469C"/>
    <w:rsid w:val="00787181"/>
    <w:rsid w:val="00787864"/>
    <w:rsid w:val="00787C60"/>
    <w:rsid w:val="007914A5"/>
    <w:rsid w:val="007915CD"/>
    <w:rsid w:val="00792820"/>
    <w:rsid w:val="00792D4C"/>
    <w:rsid w:val="007940A5"/>
    <w:rsid w:val="00794EA4"/>
    <w:rsid w:val="00794FF1"/>
    <w:rsid w:val="00795438"/>
    <w:rsid w:val="00795CFA"/>
    <w:rsid w:val="007963F7"/>
    <w:rsid w:val="007A0555"/>
    <w:rsid w:val="007A11FF"/>
    <w:rsid w:val="007A2018"/>
    <w:rsid w:val="007A2A89"/>
    <w:rsid w:val="007A567C"/>
    <w:rsid w:val="007A6093"/>
    <w:rsid w:val="007A6F23"/>
    <w:rsid w:val="007B0078"/>
    <w:rsid w:val="007B2387"/>
    <w:rsid w:val="007B3A51"/>
    <w:rsid w:val="007B5091"/>
    <w:rsid w:val="007C0000"/>
    <w:rsid w:val="007C0076"/>
    <w:rsid w:val="007C1998"/>
    <w:rsid w:val="007C1B70"/>
    <w:rsid w:val="007C2969"/>
    <w:rsid w:val="007C377D"/>
    <w:rsid w:val="007C5860"/>
    <w:rsid w:val="007C5A8F"/>
    <w:rsid w:val="007C5D65"/>
    <w:rsid w:val="007C6C01"/>
    <w:rsid w:val="007C7D3D"/>
    <w:rsid w:val="007D0487"/>
    <w:rsid w:val="007D0FC7"/>
    <w:rsid w:val="007D1B96"/>
    <w:rsid w:val="007D3979"/>
    <w:rsid w:val="007D4800"/>
    <w:rsid w:val="007D4FDF"/>
    <w:rsid w:val="007D5124"/>
    <w:rsid w:val="007D514E"/>
    <w:rsid w:val="007D686A"/>
    <w:rsid w:val="007D7DB2"/>
    <w:rsid w:val="007E0F0D"/>
    <w:rsid w:val="007E193A"/>
    <w:rsid w:val="007E2D5C"/>
    <w:rsid w:val="007E3422"/>
    <w:rsid w:val="007E4A39"/>
    <w:rsid w:val="007E4D6F"/>
    <w:rsid w:val="007E56DA"/>
    <w:rsid w:val="007E5C23"/>
    <w:rsid w:val="007E6860"/>
    <w:rsid w:val="007E68EA"/>
    <w:rsid w:val="007E75FD"/>
    <w:rsid w:val="007F0239"/>
    <w:rsid w:val="007F0683"/>
    <w:rsid w:val="007F13E8"/>
    <w:rsid w:val="007F184A"/>
    <w:rsid w:val="007F1E08"/>
    <w:rsid w:val="007F2265"/>
    <w:rsid w:val="007F24AC"/>
    <w:rsid w:val="007F300A"/>
    <w:rsid w:val="007F31E2"/>
    <w:rsid w:val="007F3441"/>
    <w:rsid w:val="007F3A83"/>
    <w:rsid w:val="007F583D"/>
    <w:rsid w:val="007F5CEA"/>
    <w:rsid w:val="007F6E5B"/>
    <w:rsid w:val="007F786A"/>
    <w:rsid w:val="008007BF"/>
    <w:rsid w:val="00800FD3"/>
    <w:rsid w:val="00802AA4"/>
    <w:rsid w:val="00802CFA"/>
    <w:rsid w:val="008033CB"/>
    <w:rsid w:val="0080355D"/>
    <w:rsid w:val="00803E2C"/>
    <w:rsid w:val="00803E86"/>
    <w:rsid w:val="008045D5"/>
    <w:rsid w:val="00804AAD"/>
    <w:rsid w:val="00805999"/>
    <w:rsid w:val="0080647F"/>
    <w:rsid w:val="00807B23"/>
    <w:rsid w:val="00807B4A"/>
    <w:rsid w:val="00810533"/>
    <w:rsid w:val="008121AC"/>
    <w:rsid w:val="00812290"/>
    <w:rsid w:val="00812455"/>
    <w:rsid w:val="00812B54"/>
    <w:rsid w:val="00812F15"/>
    <w:rsid w:val="0081464D"/>
    <w:rsid w:val="00814CF3"/>
    <w:rsid w:val="008167D9"/>
    <w:rsid w:val="00817178"/>
    <w:rsid w:val="0081749F"/>
    <w:rsid w:val="00821ABF"/>
    <w:rsid w:val="00825C87"/>
    <w:rsid w:val="00827235"/>
    <w:rsid w:val="0083034B"/>
    <w:rsid w:val="00830366"/>
    <w:rsid w:val="0083117B"/>
    <w:rsid w:val="0083253E"/>
    <w:rsid w:val="00833320"/>
    <w:rsid w:val="00833647"/>
    <w:rsid w:val="00833DE7"/>
    <w:rsid w:val="008356B5"/>
    <w:rsid w:val="0083600D"/>
    <w:rsid w:val="00837535"/>
    <w:rsid w:val="0083793D"/>
    <w:rsid w:val="00837B84"/>
    <w:rsid w:val="00841D74"/>
    <w:rsid w:val="00841D7A"/>
    <w:rsid w:val="00842FAE"/>
    <w:rsid w:val="008435F6"/>
    <w:rsid w:val="008439FA"/>
    <w:rsid w:val="00844357"/>
    <w:rsid w:val="00845D5A"/>
    <w:rsid w:val="008461D8"/>
    <w:rsid w:val="00851F0B"/>
    <w:rsid w:val="0085241D"/>
    <w:rsid w:val="00852850"/>
    <w:rsid w:val="00852C4C"/>
    <w:rsid w:val="008538F1"/>
    <w:rsid w:val="00853BBB"/>
    <w:rsid w:val="00853EC9"/>
    <w:rsid w:val="0085485D"/>
    <w:rsid w:val="00854B9C"/>
    <w:rsid w:val="00854D8E"/>
    <w:rsid w:val="00854FAF"/>
    <w:rsid w:val="008554CE"/>
    <w:rsid w:val="00856646"/>
    <w:rsid w:val="00857458"/>
    <w:rsid w:val="008578A6"/>
    <w:rsid w:val="00857BB1"/>
    <w:rsid w:val="008601DB"/>
    <w:rsid w:val="00860748"/>
    <w:rsid w:val="008615B5"/>
    <w:rsid w:val="0086188E"/>
    <w:rsid w:val="00861F85"/>
    <w:rsid w:val="00862B9E"/>
    <w:rsid w:val="0086370A"/>
    <w:rsid w:val="00864949"/>
    <w:rsid w:val="00864A7B"/>
    <w:rsid w:val="00865C57"/>
    <w:rsid w:val="0086626C"/>
    <w:rsid w:val="0087088A"/>
    <w:rsid w:val="008710D9"/>
    <w:rsid w:val="00871674"/>
    <w:rsid w:val="00871903"/>
    <w:rsid w:val="00871ABC"/>
    <w:rsid w:val="00873040"/>
    <w:rsid w:val="00873E13"/>
    <w:rsid w:val="008747A8"/>
    <w:rsid w:val="00875825"/>
    <w:rsid w:val="00875D84"/>
    <w:rsid w:val="008760B3"/>
    <w:rsid w:val="00876790"/>
    <w:rsid w:val="00877C0D"/>
    <w:rsid w:val="00877E5F"/>
    <w:rsid w:val="00877E96"/>
    <w:rsid w:val="0088082E"/>
    <w:rsid w:val="008841AB"/>
    <w:rsid w:val="008844ED"/>
    <w:rsid w:val="00884502"/>
    <w:rsid w:val="00884F9E"/>
    <w:rsid w:val="00886534"/>
    <w:rsid w:val="0088666E"/>
    <w:rsid w:val="00887352"/>
    <w:rsid w:val="008873AA"/>
    <w:rsid w:val="008909A7"/>
    <w:rsid w:val="00890E15"/>
    <w:rsid w:val="00892ED2"/>
    <w:rsid w:val="00893112"/>
    <w:rsid w:val="0089342A"/>
    <w:rsid w:val="00893A14"/>
    <w:rsid w:val="00893EC0"/>
    <w:rsid w:val="00894D50"/>
    <w:rsid w:val="008954C3"/>
    <w:rsid w:val="008963FA"/>
    <w:rsid w:val="0089713D"/>
    <w:rsid w:val="00897400"/>
    <w:rsid w:val="008975B7"/>
    <w:rsid w:val="00897AAF"/>
    <w:rsid w:val="008A0853"/>
    <w:rsid w:val="008A0A7B"/>
    <w:rsid w:val="008A2449"/>
    <w:rsid w:val="008A2C35"/>
    <w:rsid w:val="008A351C"/>
    <w:rsid w:val="008A5031"/>
    <w:rsid w:val="008A56C4"/>
    <w:rsid w:val="008A5870"/>
    <w:rsid w:val="008B0163"/>
    <w:rsid w:val="008B10F2"/>
    <w:rsid w:val="008B3AFF"/>
    <w:rsid w:val="008B4FD6"/>
    <w:rsid w:val="008B5760"/>
    <w:rsid w:val="008B5CD5"/>
    <w:rsid w:val="008B61AF"/>
    <w:rsid w:val="008B64A8"/>
    <w:rsid w:val="008B6C7A"/>
    <w:rsid w:val="008B6F02"/>
    <w:rsid w:val="008B6FC8"/>
    <w:rsid w:val="008C0221"/>
    <w:rsid w:val="008C2CFE"/>
    <w:rsid w:val="008C4277"/>
    <w:rsid w:val="008C434C"/>
    <w:rsid w:val="008C55D9"/>
    <w:rsid w:val="008C5CB3"/>
    <w:rsid w:val="008C5E40"/>
    <w:rsid w:val="008C6AD5"/>
    <w:rsid w:val="008C6FEF"/>
    <w:rsid w:val="008C7A78"/>
    <w:rsid w:val="008D12D5"/>
    <w:rsid w:val="008D1608"/>
    <w:rsid w:val="008D288B"/>
    <w:rsid w:val="008D2DEF"/>
    <w:rsid w:val="008D41C9"/>
    <w:rsid w:val="008D4571"/>
    <w:rsid w:val="008D578B"/>
    <w:rsid w:val="008D5A4D"/>
    <w:rsid w:val="008D6603"/>
    <w:rsid w:val="008D7717"/>
    <w:rsid w:val="008E21B1"/>
    <w:rsid w:val="008E2CBD"/>
    <w:rsid w:val="008E2FBB"/>
    <w:rsid w:val="008E3782"/>
    <w:rsid w:val="008E37CC"/>
    <w:rsid w:val="008E5768"/>
    <w:rsid w:val="008E5940"/>
    <w:rsid w:val="008E6F1D"/>
    <w:rsid w:val="008E72A4"/>
    <w:rsid w:val="008E7856"/>
    <w:rsid w:val="008F0F04"/>
    <w:rsid w:val="008F1A40"/>
    <w:rsid w:val="008F2ADC"/>
    <w:rsid w:val="008F2E5E"/>
    <w:rsid w:val="008F2FE3"/>
    <w:rsid w:val="008F336F"/>
    <w:rsid w:val="008F427C"/>
    <w:rsid w:val="008F5EB0"/>
    <w:rsid w:val="008F6409"/>
    <w:rsid w:val="008F647F"/>
    <w:rsid w:val="008F6D23"/>
    <w:rsid w:val="009017E2"/>
    <w:rsid w:val="00902D97"/>
    <w:rsid w:val="00902EBE"/>
    <w:rsid w:val="009036FF"/>
    <w:rsid w:val="00903E14"/>
    <w:rsid w:val="00905D57"/>
    <w:rsid w:val="00905DBC"/>
    <w:rsid w:val="009065CE"/>
    <w:rsid w:val="00907C5B"/>
    <w:rsid w:val="00910848"/>
    <w:rsid w:val="00911919"/>
    <w:rsid w:val="00911989"/>
    <w:rsid w:val="009120FF"/>
    <w:rsid w:val="0091357A"/>
    <w:rsid w:val="00914739"/>
    <w:rsid w:val="00914CA3"/>
    <w:rsid w:val="00914CD6"/>
    <w:rsid w:val="00915C19"/>
    <w:rsid w:val="00921457"/>
    <w:rsid w:val="00923213"/>
    <w:rsid w:val="00923B54"/>
    <w:rsid w:val="00926EC6"/>
    <w:rsid w:val="009275B0"/>
    <w:rsid w:val="009276EF"/>
    <w:rsid w:val="00927E7A"/>
    <w:rsid w:val="00930B58"/>
    <w:rsid w:val="00932186"/>
    <w:rsid w:val="0093329D"/>
    <w:rsid w:val="009337EB"/>
    <w:rsid w:val="00933E74"/>
    <w:rsid w:val="009345AD"/>
    <w:rsid w:val="009349EA"/>
    <w:rsid w:val="009370FE"/>
    <w:rsid w:val="00937238"/>
    <w:rsid w:val="00937E61"/>
    <w:rsid w:val="00941B7A"/>
    <w:rsid w:val="00942BEB"/>
    <w:rsid w:val="00944270"/>
    <w:rsid w:val="0094428F"/>
    <w:rsid w:val="00945E07"/>
    <w:rsid w:val="00946571"/>
    <w:rsid w:val="00946973"/>
    <w:rsid w:val="009472B7"/>
    <w:rsid w:val="00950738"/>
    <w:rsid w:val="00950ED3"/>
    <w:rsid w:val="00951C04"/>
    <w:rsid w:val="009535EF"/>
    <w:rsid w:val="00954800"/>
    <w:rsid w:val="00955269"/>
    <w:rsid w:val="00955831"/>
    <w:rsid w:val="0095698E"/>
    <w:rsid w:val="00956A10"/>
    <w:rsid w:val="00956A3A"/>
    <w:rsid w:val="0095778D"/>
    <w:rsid w:val="00957ACE"/>
    <w:rsid w:val="00957CDF"/>
    <w:rsid w:val="00960F83"/>
    <w:rsid w:val="00962E1D"/>
    <w:rsid w:val="009645C4"/>
    <w:rsid w:val="00964912"/>
    <w:rsid w:val="0096530A"/>
    <w:rsid w:val="009654BA"/>
    <w:rsid w:val="0096570B"/>
    <w:rsid w:val="00965EBE"/>
    <w:rsid w:val="00965F18"/>
    <w:rsid w:val="00966010"/>
    <w:rsid w:val="00967351"/>
    <w:rsid w:val="00970495"/>
    <w:rsid w:val="00970BC6"/>
    <w:rsid w:val="0097208C"/>
    <w:rsid w:val="00973239"/>
    <w:rsid w:val="00974A21"/>
    <w:rsid w:val="00975071"/>
    <w:rsid w:val="0097568A"/>
    <w:rsid w:val="00975900"/>
    <w:rsid w:val="00975E92"/>
    <w:rsid w:val="0097609E"/>
    <w:rsid w:val="00976127"/>
    <w:rsid w:val="009773B6"/>
    <w:rsid w:val="00980714"/>
    <w:rsid w:val="0098120F"/>
    <w:rsid w:val="009814FF"/>
    <w:rsid w:val="00981D79"/>
    <w:rsid w:val="00981F75"/>
    <w:rsid w:val="009826A0"/>
    <w:rsid w:val="0098339E"/>
    <w:rsid w:val="0098375B"/>
    <w:rsid w:val="0098435E"/>
    <w:rsid w:val="009845D1"/>
    <w:rsid w:val="009849D5"/>
    <w:rsid w:val="009850AA"/>
    <w:rsid w:val="009852FD"/>
    <w:rsid w:val="009856D9"/>
    <w:rsid w:val="009857BD"/>
    <w:rsid w:val="00986DD7"/>
    <w:rsid w:val="009871DF"/>
    <w:rsid w:val="00987721"/>
    <w:rsid w:val="00990AAE"/>
    <w:rsid w:val="00991CF2"/>
    <w:rsid w:val="009933AB"/>
    <w:rsid w:val="00994483"/>
    <w:rsid w:val="00994AE9"/>
    <w:rsid w:val="009956FF"/>
    <w:rsid w:val="00995996"/>
    <w:rsid w:val="0099673D"/>
    <w:rsid w:val="009A1BC1"/>
    <w:rsid w:val="009A3173"/>
    <w:rsid w:val="009A5DE8"/>
    <w:rsid w:val="009B0288"/>
    <w:rsid w:val="009B0CBD"/>
    <w:rsid w:val="009B25FA"/>
    <w:rsid w:val="009B4FE3"/>
    <w:rsid w:val="009B5F3B"/>
    <w:rsid w:val="009B61B8"/>
    <w:rsid w:val="009B64E6"/>
    <w:rsid w:val="009B6D0D"/>
    <w:rsid w:val="009B7BFF"/>
    <w:rsid w:val="009B7FC1"/>
    <w:rsid w:val="009C02B4"/>
    <w:rsid w:val="009C069C"/>
    <w:rsid w:val="009C0B9F"/>
    <w:rsid w:val="009C1926"/>
    <w:rsid w:val="009C1C60"/>
    <w:rsid w:val="009C256C"/>
    <w:rsid w:val="009C2597"/>
    <w:rsid w:val="009C28D2"/>
    <w:rsid w:val="009C28E3"/>
    <w:rsid w:val="009C2CC6"/>
    <w:rsid w:val="009C4091"/>
    <w:rsid w:val="009C4A4B"/>
    <w:rsid w:val="009C50A6"/>
    <w:rsid w:val="009C5904"/>
    <w:rsid w:val="009C5D00"/>
    <w:rsid w:val="009C6628"/>
    <w:rsid w:val="009C727F"/>
    <w:rsid w:val="009C7D56"/>
    <w:rsid w:val="009D01D5"/>
    <w:rsid w:val="009D02E2"/>
    <w:rsid w:val="009D0A0B"/>
    <w:rsid w:val="009D139B"/>
    <w:rsid w:val="009D2922"/>
    <w:rsid w:val="009D2B99"/>
    <w:rsid w:val="009D2BD9"/>
    <w:rsid w:val="009D3400"/>
    <w:rsid w:val="009D3874"/>
    <w:rsid w:val="009D54C0"/>
    <w:rsid w:val="009D55A5"/>
    <w:rsid w:val="009D776D"/>
    <w:rsid w:val="009D77C9"/>
    <w:rsid w:val="009E0153"/>
    <w:rsid w:val="009E181F"/>
    <w:rsid w:val="009E1DAA"/>
    <w:rsid w:val="009E203E"/>
    <w:rsid w:val="009E355D"/>
    <w:rsid w:val="009E5222"/>
    <w:rsid w:val="009E5451"/>
    <w:rsid w:val="009E62AE"/>
    <w:rsid w:val="009E68CA"/>
    <w:rsid w:val="009E6CF3"/>
    <w:rsid w:val="009E753E"/>
    <w:rsid w:val="009F08E1"/>
    <w:rsid w:val="009F2175"/>
    <w:rsid w:val="009F2931"/>
    <w:rsid w:val="009F2EE5"/>
    <w:rsid w:val="009F53FB"/>
    <w:rsid w:val="009F6574"/>
    <w:rsid w:val="009F66F3"/>
    <w:rsid w:val="009F714E"/>
    <w:rsid w:val="009F76B6"/>
    <w:rsid w:val="009F7C79"/>
    <w:rsid w:val="00A00B15"/>
    <w:rsid w:val="00A01B51"/>
    <w:rsid w:val="00A02577"/>
    <w:rsid w:val="00A04AF5"/>
    <w:rsid w:val="00A05CAB"/>
    <w:rsid w:val="00A05CB3"/>
    <w:rsid w:val="00A061AE"/>
    <w:rsid w:val="00A0741C"/>
    <w:rsid w:val="00A11C2A"/>
    <w:rsid w:val="00A121E8"/>
    <w:rsid w:val="00A12674"/>
    <w:rsid w:val="00A12C78"/>
    <w:rsid w:val="00A130DF"/>
    <w:rsid w:val="00A147A9"/>
    <w:rsid w:val="00A1489A"/>
    <w:rsid w:val="00A14EBB"/>
    <w:rsid w:val="00A16AD8"/>
    <w:rsid w:val="00A17129"/>
    <w:rsid w:val="00A17AED"/>
    <w:rsid w:val="00A20CB4"/>
    <w:rsid w:val="00A2138F"/>
    <w:rsid w:val="00A224A0"/>
    <w:rsid w:val="00A230E6"/>
    <w:rsid w:val="00A24726"/>
    <w:rsid w:val="00A253D3"/>
    <w:rsid w:val="00A255D7"/>
    <w:rsid w:val="00A25A77"/>
    <w:rsid w:val="00A26654"/>
    <w:rsid w:val="00A26C1B"/>
    <w:rsid w:val="00A276BB"/>
    <w:rsid w:val="00A3034A"/>
    <w:rsid w:val="00A30E97"/>
    <w:rsid w:val="00A3115B"/>
    <w:rsid w:val="00A3328B"/>
    <w:rsid w:val="00A33684"/>
    <w:rsid w:val="00A33830"/>
    <w:rsid w:val="00A338C5"/>
    <w:rsid w:val="00A33B53"/>
    <w:rsid w:val="00A33E8B"/>
    <w:rsid w:val="00A34FB3"/>
    <w:rsid w:val="00A35187"/>
    <w:rsid w:val="00A35242"/>
    <w:rsid w:val="00A36A4C"/>
    <w:rsid w:val="00A36CC1"/>
    <w:rsid w:val="00A372BE"/>
    <w:rsid w:val="00A375A6"/>
    <w:rsid w:val="00A37699"/>
    <w:rsid w:val="00A379BE"/>
    <w:rsid w:val="00A37DDB"/>
    <w:rsid w:val="00A4001E"/>
    <w:rsid w:val="00A40153"/>
    <w:rsid w:val="00A4252D"/>
    <w:rsid w:val="00A4370D"/>
    <w:rsid w:val="00A44375"/>
    <w:rsid w:val="00A47CF7"/>
    <w:rsid w:val="00A50900"/>
    <w:rsid w:val="00A509EB"/>
    <w:rsid w:val="00A5340D"/>
    <w:rsid w:val="00A53AB3"/>
    <w:rsid w:val="00A5446B"/>
    <w:rsid w:val="00A544C5"/>
    <w:rsid w:val="00A549ED"/>
    <w:rsid w:val="00A54FCC"/>
    <w:rsid w:val="00A55321"/>
    <w:rsid w:val="00A56068"/>
    <w:rsid w:val="00A56662"/>
    <w:rsid w:val="00A5695F"/>
    <w:rsid w:val="00A5723D"/>
    <w:rsid w:val="00A57B7A"/>
    <w:rsid w:val="00A601BC"/>
    <w:rsid w:val="00A60818"/>
    <w:rsid w:val="00A60C85"/>
    <w:rsid w:val="00A62605"/>
    <w:rsid w:val="00A63909"/>
    <w:rsid w:val="00A642C6"/>
    <w:rsid w:val="00A64540"/>
    <w:rsid w:val="00A6542C"/>
    <w:rsid w:val="00A65787"/>
    <w:rsid w:val="00A657DB"/>
    <w:rsid w:val="00A65B39"/>
    <w:rsid w:val="00A66FE6"/>
    <w:rsid w:val="00A70625"/>
    <w:rsid w:val="00A70E84"/>
    <w:rsid w:val="00A71075"/>
    <w:rsid w:val="00A71592"/>
    <w:rsid w:val="00A72216"/>
    <w:rsid w:val="00A739D9"/>
    <w:rsid w:val="00A73CC1"/>
    <w:rsid w:val="00A73FF5"/>
    <w:rsid w:val="00A74107"/>
    <w:rsid w:val="00A76396"/>
    <w:rsid w:val="00A76913"/>
    <w:rsid w:val="00A77C7A"/>
    <w:rsid w:val="00A804DC"/>
    <w:rsid w:val="00A80583"/>
    <w:rsid w:val="00A806E7"/>
    <w:rsid w:val="00A8087A"/>
    <w:rsid w:val="00A81476"/>
    <w:rsid w:val="00A816AD"/>
    <w:rsid w:val="00A81C06"/>
    <w:rsid w:val="00A83378"/>
    <w:rsid w:val="00A8478B"/>
    <w:rsid w:val="00A85673"/>
    <w:rsid w:val="00A856AD"/>
    <w:rsid w:val="00A86146"/>
    <w:rsid w:val="00A866E3"/>
    <w:rsid w:val="00A8678F"/>
    <w:rsid w:val="00A86E51"/>
    <w:rsid w:val="00A873AC"/>
    <w:rsid w:val="00A9040C"/>
    <w:rsid w:val="00A9057E"/>
    <w:rsid w:val="00A91060"/>
    <w:rsid w:val="00A91395"/>
    <w:rsid w:val="00A927B6"/>
    <w:rsid w:val="00A92C23"/>
    <w:rsid w:val="00A92DFA"/>
    <w:rsid w:val="00A92F93"/>
    <w:rsid w:val="00A93755"/>
    <w:rsid w:val="00A94039"/>
    <w:rsid w:val="00A9409A"/>
    <w:rsid w:val="00A944D7"/>
    <w:rsid w:val="00A95BE6"/>
    <w:rsid w:val="00A95EC2"/>
    <w:rsid w:val="00A967D3"/>
    <w:rsid w:val="00A97447"/>
    <w:rsid w:val="00AA0883"/>
    <w:rsid w:val="00AA44B8"/>
    <w:rsid w:val="00AA4AA1"/>
    <w:rsid w:val="00AA4C4E"/>
    <w:rsid w:val="00AA5B17"/>
    <w:rsid w:val="00AA6071"/>
    <w:rsid w:val="00AA62B3"/>
    <w:rsid w:val="00AA6602"/>
    <w:rsid w:val="00AA74B2"/>
    <w:rsid w:val="00AA75A5"/>
    <w:rsid w:val="00AB021C"/>
    <w:rsid w:val="00AB29A0"/>
    <w:rsid w:val="00AB3D80"/>
    <w:rsid w:val="00AB4F87"/>
    <w:rsid w:val="00AB64DF"/>
    <w:rsid w:val="00AB6E87"/>
    <w:rsid w:val="00AB70BA"/>
    <w:rsid w:val="00AB71E7"/>
    <w:rsid w:val="00AB757D"/>
    <w:rsid w:val="00AB7790"/>
    <w:rsid w:val="00AC1535"/>
    <w:rsid w:val="00AC1790"/>
    <w:rsid w:val="00AC1842"/>
    <w:rsid w:val="00AC29FB"/>
    <w:rsid w:val="00AC51F6"/>
    <w:rsid w:val="00AC5977"/>
    <w:rsid w:val="00AC6628"/>
    <w:rsid w:val="00AC6636"/>
    <w:rsid w:val="00AC697C"/>
    <w:rsid w:val="00AC7EBE"/>
    <w:rsid w:val="00AD0561"/>
    <w:rsid w:val="00AD0B03"/>
    <w:rsid w:val="00AD1636"/>
    <w:rsid w:val="00AD17CD"/>
    <w:rsid w:val="00AD1802"/>
    <w:rsid w:val="00AD233B"/>
    <w:rsid w:val="00AD3316"/>
    <w:rsid w:val="00AD3D64"/>
    <w:rsid w:val="00AD43DA"/>
    <w:rsid w:val="00AD4894"/>
    <w:rsid w:val="00AD61DE"/>
    <w:rsid w:val="00AD6C5C"/>
    <w:rsid w:val="00AD7020"/>
    <w:rsid w:val="00AD7E1A"/>
    <w:rsid w:val="00AE0868"/>
    <w:rsid w:val="00AE0C72"/>
    <w:rsid w:val="00AE269A"/>
    <w:rsid w:val="00AE2D52"/>
    <w:rsid w:val="00AE31CF"/>
    <w:rsid w:val="00AE32A9"/>
    <w:rsid w:val="00AE3AC8"/>
    <w:rsid w:val="00AE4008"/>
    <w:rsid w:val="00AE51C3"/>
    <w:rsid w:val="00AE6FE7"/>
    <w:rsid w:val="00AE7F03"/>
    <w:rsid w:val="00AF1CBF"/>
    <w:rsid w:val="00AF1DFD"/>
    <w:rsid w:val="00AF205B"/>
    <w:rsid w:val="00AF4927"/>
    <w:rsid w:val="00AF57C3"/>
    <w:rsid w:val="00AF5FEC"/>
    <w:rsid w:val="00AF64C2"/>
    <w:rsid w:val="00AF6CD7"/>
    <w:rsid w:val="00AF7B0C"/>
    <w:rsid w:val="00B003D4"/>
    <w:rsid w:val="00B00C34"/>
    <w:rsid w:val="00B01347"/>
    <w:rsid w:val="00B02266"/>
    <w:rsid w:val="00B0300B"/>
    <w:rsid w:val="00B04D42"/>
    <w:rsid w:val="00B05304"/>
    <w:rsid w:val="00B054F5"/>
    <w:rsid w:val="00B0598D"/>
    <w:rsid w:val="00B05D4C"/>
    <w:rsid w:val="00B061C8"/>
    <w:rsid w:val="00B064BF"/>
    <w:rsid w:val="00B06AA4"/>
    <w:rsid w:val="00B06AC9"/>
    <w:rsid w:val="00B075D9"/>
    <w:rsid w:val="00B07BF9"/>
    <w:rsid w:val="00B1003D"/>
    <w:rsid w:val="00B108DC"/>
    <w:rsid w:val="00B11586"/>
    <w:rsid w:val="00B1301D"/>
    <w:rsid w:val="00B13899"/>
    <w:rsid w:val="00B13C83"/>
    <w:rsid w:val="00B141EA"/>
    <w:rsid w:val="00B14265"/>
    <w:rsid w:val="00B14933"/>
    <w:rsid w:val="00B1507C"/>
    <w:rsid w:val="00B167F9"/>
    <w:rsid w:val="00B23DE7"/>
    <w:rsid w:val="00B255C9"/>
    <w:rsid w:val="00B25BFA"/>
    <w:rsid w:val="00B267EC"/>
    <w:rsid w:val="00B27330"/>
    <w:rsid w:val="00B27962"/>
    <w:rsid w:val="00B32BDA"/>
    <w:rsid w:val="00B33C14"/>
    <w:rsid w:val="00B3413A"/>
    <w:rsid w:val="00B345BA"/>
    <w:rsid w:val="00B361EF"/>
    <w:rsid w:val="00B36BBF"/>
    <w:rsid w:val="00B372EB"/>
    <w:rsid w:val="00B37BFC"/>
    <w:rsid w:val="00B37FB5"/>
    <w:rsid w:val="00B40C15"/>
    <w:rsid w:val="00B41888"/>
    <w:rsid w:val="00B42805"/>
    <w:rsid w:val="00B42C74"/>
    <w:rsid w:val="00B42E8B"/>
    <w:rsid w:val="00B430C1"/>
    <w:rsid w:val="00B44853"/>
    <w:rsid w:val="00B44E6F"/>
    <w:rsid w:val="00B4524E"/>
    <w:rsid w:val="00B45A08"/>
    <w:rsid w:val="00B45ACB"/>
    <w:rsid w:val="00B45BF2"/>
    <w:rsid w:val="00B4659A"/>
    <w:rsid w:val="00B46C1E"/>
    <w:rsid w:val="00B475FA"/>
    <w:rsid w:val="00B5055F"/>
    <w:rsid w:val="00B5181A"/>
    <w:rsid w:val="00B51C50"/>
    <w:rsid w:val="00B5318D"/>
    <w:rsid w:val="00B53FA4"/>
    <w:rsid w:val="00B5402C"/>
    <w:rsid w:val="00B54C7F"/>
    <w:rsid w:val="00B54DC4"/>
    <w:rsid w:val="00B56570"/>
    <w:rsid w:val="00B5743B"/>
    <w:rsid w:val="00B619E7"/>
    <w:rsid w:val="00B61A3A"/>
    <w:rsid w:val="00B62EAB"/>
    <w:rsid w:val="00B630A6"/>
    <w:rsid w:val="00B63E4F"/>
    <w:rsid w:val="00B6438C"/>
    <w:rsid w:val="00B65F92"/>
    <w:rsid w:val="00B6620B"/>
    <w:rsid w:val="00B66E91"/>
    <w:rsid w:val="00B6759A"/>
    <w:rsid w:val="00B676A4"/>
    <w:rsid w:val="00B701E1"/>
    <w:rsid w:val="00B7049F"/>
    <w:rsid w:val="00B70C05"/>
    <w:rsid w:val="00B70CE9"/>
    <w:rsid w:val="00B73873"/>
    <w:rsid w:val="00B73B32"/>
    <w:rsid w:val="00B74270"/>
    <w:rsid w:val="00B74D5A"/>
    <w:rsid w:val="00B7564F"/>
    <w:rsid w:val="00B7596F"/>
    <w:rsid w:val="00B75ACC"/>
    <w:rsid w:val="00B80936"/>
    <w:rsid w:val="00B81258"/>
    <w:rsid w:val="00B8132B"/>
    <w:rsid w:val="00B81C13"/>
    <w:rsid w:val="00B81D6B"/>
    <w:rsid w:val="00B830D3"/>
    <w:rsid w:val="00B8319E"/>
    <w:rsid w:val="00B8368A"/>
    <w:rsid w:val="00B84672"/>
    <w:rsid w:val="00B84959"/>
    <w:rsid w:val="00B84EC9"/>
    <w:rsid w:val="00B85BC7"/>
    <w:rsid w:val="00B87405"/>
    <w:rsid w:val="00B879D3"/>
    <w:rsid w:val="00B901C4"/>
    <w:rsid w:val="00B90739"/>
    <w:rsid w:val="00B90C80"/>
    <w:rsid w:val="00B91374"/>
    <w:rsid w:val="00B9140E"/>
    <w:rsid w:val="00B91F60"/>
    <w:rsid w:val="00B92B86"/>
    <w:rsid w:val="00B935E4"/>
    <w:rsid w:val="00B949DB"/>
    <w:rsid w:val="00B94A29"/>
    <w:rsid w:val="00B95A30"/>
    <w:rsid w:val="00B95CD5"/>
    <w:rsid w:val="00B96334"/>
    <w:rsid w:val="00B96567"/>
    <w:rsid w:val="00B966F3"/>
    <w:rsid w:val="00B96AAA"/>
    <w:rsid w:val="00B96F57"/>
    <w:rsid w:val="00B96FB1"/>
    <w:rsid w:val="00B9781E"/>
    <w:rsid w:val="00BA0E0B"/>
    <w:rsid w:val="00BA1226"/>
    <w:rsid w:val="00BA1A80"/>
    <w:rsid w:val="00BA1F19"/>
    <w:rsid w:val="00BA2023"/>
    <w:rsid w:val="00BA4750"/>
    <w:rsid w:val="00BA561B"/>
    <w:rsid w:val="00BA5ADD"/>
    <w:rsid w:val="00BA5D3C"/>
    <w:rsid w:val="00BA629B"/>
    <w:rsid w:val="00BA6F65"/>
    <w:rsid w:val="00BA722F"/>
    <w:rsid w:val="00BA79E9"/>
    <w:rsid w:val="00BB069D"/>
    <w:rsid w:val="00BB0C75"/>
    <w:rsid w:val="00BB1E60"/>
    <w:rsid w:val="00BB2327"/>
    <w:rsid w:val="00BB29CF"/>
    <w:rsid w:val="00BB34DC"/>
    <w:rsid w:val="00BB3D98"/>
    <w:rsid w:val="00BB3F52"/>
    <w:rsid w:val="00BB6211"/>
    <w:rsid w:val="00BB74C0"/>
    <w:rsid w:val="00BC0742"/>
    <w:rsid w:val="00BC0AB8"/>
    <w:rsid w:val="00BC1D0A"/>
    <w:rsid w:val="00BC394F"/>
    <w:rsid w:val="00BC39A6"/>
    <w:rsid w:val="00BC3C95"/>
    <w:rsid w:val="00BC67ED"/>
    <w:rsid w:val="00BC7BEA"/>
    <w:rsid w:val="00BC7D05"/>
    <w:rsid w:val="00BD068D"/>
    <w:rsid w:val="00BD1BD3"/>
    <w:rsid w:val="00BD2443"/>
    <w:rsid w:val="00BD2866"/>
    <w:rsid w:val="00BD2A46"/>
    <w:rsid w:val="00BD2F3E"/>
    <w:rsid w:val="00BD3264"/>
    <w:rsid w:val="00BD5B91"/>
    <w:rsid w:val="00BD5E6B"/>
    <w:rsid w:val="00BE09C9"/>
    <w:rsid w:val="00BE1237"/>
    <w:rsid w:val="00BE16E4"/>
    <w:rsid w:val="00BE1A64"/>
    <w:rsid w:val="00BE2E8A"/>
    <w:rsid w:val="00BE4562"/>
    <w:rsid w:val="00BE636D"/>
    <w:rsid w:val="00BE6CF0"/>
    <w:rsid w:val="00BE72C2"/>
    <w:rsid w:val="00BE7387"/>
    <w:rsid w:val="00BE7984"/>
    <w:rsid w:val="00BF0C0F"/>
    <w:rsid w:val="00BF0ED8"/>
    <w:rsid w:val="00BF251C"/>
    <w:rsid w:val="00BF286D"/>
    <w:rsid w:val="00BF3C2D"/>
    <w:rsid w:val="00BF3F88"/>
    <w:rsid w:val="00BF54CF"/>
    <w:rsid w:val="00BF5564"/>
    <w:rsid w:val="00BF5CF4"/>
    <w:rsid w:val="00BF6D52"/>
    <w:rsid w:val="00BF6F06"/>
    <w:rsid w:val="00BF7D12"/>
    <w:rsid w:val="00BF7E85"/>
    <w:rsid w:val="00C002EC"/>
    <w:rsid w:val="00C00466"/>
    <w:rsid w:val="00C01681"/>
    <w:rsid w:val="00C01C5B"/>
    <w:rsid w:val="00C02EB0"/>
    <w:rsid w:val="00C03375"/>
    <w:rsid w:val="00C04CA7"/>
    <w:rsid w:val="00C04D78"/>
    <w:rsid w:val="00C04EF3"/>
    <w:rsid w:val="00C05B59"/>
    <w:rsid w:val="00C06847"/>
    <w:rsid w:val="00C06FEC"/>
    <w:rsid w:val="00C07516"/>
    <w:rsid w:val="00C07FFD"/>
    <w:rsid w:val="00C10C0B"/>
    <w:rsid w:val="00C11C21"/>
    <w:rsid w:val="00C11FF8"/>
    <w:rsid w:val="00C12554"/>
    <w:rsid w:val="00C12B86"/>
    <w:rsid w:val="00C13B1F"/>
    <w:rsid w:val="00C14694"/>
    <w:rsid w:val="00C14CE0"/>
    <w:rsid w:val="00C1598F"/>
    <w:rsid w:val="00C15A06"/>
    <w:rsid w:val="00C15C60"/>
    <w:rsid w:val="00C16E6F"/>
    <w:rsid w:val="00C21BE7"/>
    <w:rsid w:val="00C22428"/>
    <w:rsid w:val="00C22B7B"/>
    <w:rsid w:val="00C231AE"/>
    <w:rsid w:val="00C23B43"/>
    <w:rsid w:val="00C2457F"/>
    <w:rsid w:val="00C24F48"/>
    <w:rsid w:val="00C2521C"/>
    <w:rsid w:val="00C25BD5"/>
    <w:rsid w:val="00C27114"/>
    <w:rsid w:val="00C2747A"/>
    <w:rsid w:val="00C27A39"/>
    <w:rsid w:val="00C30E71"/>
    <w:rsid w:val="00C31D95"/>
    <w:rsid w:val="00C323BB"/>
    <w:rsid w:val="00C32851"/>
    <w:rsid w:val="00C3316C"/>
    <w:rsid w:val="00C33D1E"/>
    <w:rsid w:val="00C346B0"/>
    <w:rsid w:val="00C361C0"/>
    <w:rsid w:val="00C37208"/>
    <w:rsid w:val="00C37818"/>
    <w:rsid w:val="00C40071"/>
    <w:rsid w:val="00C41022"/>
    <w:rsid w:val="00C4173B"/>
    <w:rsid w:val="00C42420"/>
    <w:rsid w:val="00C429E1"/>
    <w:rsid w:val="00C446AC"/>
    <w:rsid w:val="00C44F0E"/>
    <w:rsid w:val="00C45C63"/>
    <w:rsid w:val="00C467AD"/>
    <w:rsid w:val="00C46D2D"/>
    <w:rsid w:val="00C46DF4"/>
    <w:rsid w:val="00C472EF"/>
    <w:rsid w:val="00C47EA5"/>
    <w:rsid w:val="00C51ACA"/>
    <w:rsid w:val="00C521B3"/>
    <w:rsid w:val="00C5336B"/>
    <w:rsid w:val="00C533B2"/>
    <w:rsid w:val="00C546DC"/>
    <w:rsid w:val="00C54AE9"/>
    <w:rsid w:val="00C5510B"/>
    <w:rsid w:val="00C5580E"/>
    <w:rsid w:val="00C57551"/>
    <w:rsid w:val="00C578EC"/>
    <w:rsid w:val="00C60010"/>
    <w:rsid w:val="00C60AF3"/>
    <w:rsid w:val="00C619BB"/>
    <w:rsid w:val="00C61C68"/>
    <w:rsid w:val="00C61E6C"/>
    <w:rsid w:val="00C627C4"/>
    <w:rsid w:val="00C62909"/>
    <w:rsid w:val="00C62E73"/>
    <w:rsid w:val="00C639E5"/>
    <w:rsid w:val="00C63D21"/>
    <w:rsid w:val="00C65094"/>
    <w:rsid w:val="00C66702"/>
    <w:rsid w:val="00C6684F"/>
    <w:rsid w:val="00C70E83"/>
    <w:rsid w:val="00C7276F"/>
    <w:rsid w:val="00C73A88"/>
    <w:rsid w:val="00C73F37"/>
    <w:rsid w:val="00C74849"/>
    <w:rsid w:val="00C75471"/>
    <w:rsid w:val="00C767F8"/>
    <w:rsid w:val="00C80443"/>
    <w:rsid w:val="00C806EC"/>
    <w:rsid w:val="00C81505"/>
    <w:rsid w:val="00C820C7"/>
    <w:rsid w:val="00C825E8"/>
    <w:rsid w:val="00C82829"/>
    <w:rsid w:val="00C829A7"/>
    <w:rsid w:val="00C83B90"/>
    <w:rsid w:val="00C83D12"/>
    <w:rsid w:val="00C8485C"/>
    <w:rsid w:val="00C8585D"/>
    <w:rsid w:val="00C8684C"/>
    <w:rsid w:val="00C86B1D"/>
    <w:rsid w:val="00C925A1"/>
    <w:rsid w:val="00C932FD"/>
    <w:rsid w:val="00C94176"/>
    <w:rsid w:val="00C94D95"/>
    <w:rsid w:val="00C96356"/>
    <w:rsid w:val="00C96574"/>
    <w:rsid w:val="00C96E12"/>
    <w:rsid w:val="00CA1768"/>
    <w:rsid w:val="00CA3F9B"/>
    <w:rsid w:val="00CA6ECD"/>
    <w:rsid w:val="00CA7EB7"/>
    <w:rsid w:val="00CB1B95"/>
    <w:rsid w:val="00CB1ED6"/>
    <w:rsid w:val="00CB33EF"/>
    <w:rsid w:val="00CB3575"/>
    <w:rsid w:val="00CB46C1"/>
    <w:rsid w:val="00CB5420"/>
    <w:rsid w:val="00CB5A45"/>
    <w:rsid w:val="00CB61B4"/>
    <w:rsid w:val="00CB6735"/>
    <w:rsid w:val="00CB675E"/>
    <w:rsid w:val="00CB6D19"/>
    <w:rsid w:val="00CB795D"/>
    <w:rsid w:val="00CC020E"/>
    <w:rsid w:val="00CC5AA0"/>
    <w:rsid w:val="00CC766B"/>
    <w:rsid w:val="00CD049A"/>
    <w:rsid w:val="00CD09E8"/>
    <w:rsid w:val="00CD0B97"/>
    <w:rsid w:val="00CD11DD"/>
    <w:rsid w:val="00CD2746"/>
    <w:rsid w:val="00CD2779"/>
    <w:rsid w:val="00CD2904"/>
    <w:rsid w:val="00CD570F"/>
    <w:rsid w:val="00CD6A65"/>
    <w:rsid w:val="00CE027F"/>
    <w:rsid w:val="00CE0A51"/>
    <w:rsid w:val="00CE1A28"/>
    <w:rsid w:val="00CE30DD"/>
    <w:rsid w:val="00CE311A"/>
    <w:rsid w:val="00CE4C61"/>
    <w:rsid w:val="00CE5784"/>
    <w:rsid w:val="00CE596A"/>
    <w:rsid w:val="00CE6F36"/>
    <w:rsid w:val="00CE7B89"/>
    <w:rsid w:val="00CE7D67"/>
    <w:rsid w:val="00CF24A6"/>
    <w:rsid w:val="00CF44DB"/>
    <w:rsid w:val="00CF585E"/>
    <w:rsid w:val="00CF6099"/>
    <w:rsid w:val="00CF63FE"/>
    <w:rsid w:val="00CF65D8"/>
    <w:rsid w:val="00CF67A7"/>
    <w:rsid w:val="00CF70E4"/>
    <w:rsid w:val="00CF7507"/>
    <w:rsid w:val="00CF78D3"/>
    <w:rsid w:val="00CF7A88"/>
    <w:rsid w:val="00D010B0"/>
    <w:rsid w:val="00D0186B"/>
    <w:rsid w:val="00D03087"/>
    <w:rsid w:val="00D04DD4"/>
    <w:rsid w:val="00D0514B"/>
    <w:rsid w:val="00D05A64"/>
    <w:rsid w:val="00D06230"/>
    <w:rsid w:val="00D067F3"/>
    <w:rsid w:val="00D06FE8"/>
    <w:rsid w:val="00D07BCE"/>
    <w:rsid w:val="00D11EFA"/>
    <w:rsid w:val="00D11F2D"/>
    <w:rsid w:val="00D13C74"/>
    <w:rsid w:val="00D1528F"/>
    <w:rsid w:val="00D1576A"/>
    <w:rsid w:val="00D16AF7"/>
    <w:rsid w:val="00D17128"/>
    <w:rsid w:val="00D202F5"/>
    <w:rsid w:val="00D20418"/>
    <w:rsid w:val="00D2116C"/>
    <w:rsid w:val="00D2170D"/>
    <w:rsid w:val="00D21DA2"/>
    <w:rsid w:val="00D22103"/>
    <w:rsid w:val="00D227ED"/>
    <w:rsid w:val="00D22A2E"/>
    <w:rsid w:val="00D24AFA"/>
    <w:rsid w:val="00D24ECF"/>
    <w:rsid w:val="00D259F8"/>
    <w:rsid w:val="00D26939"/>
    <w:rsid w:val="00D30058"/>
    <w:rsid w:val="00D30467"/>
    <w:rsid w:val="00D30884"/>
    <w:rsid w:val="00D30B01"/>
    <w:rsid w:val="00D31747"/>
    <w:rsid w:val="00D31EC9"/>
    <w:rsid w:val="00D32A03"/>
    <w:rsid w:val="00D32FBE"/>
    <w:rsid w:val="00D330F2"/>
    <w:rsid w:val="00D33217"/>
    <w:rsid w:val="00D33684"/>
    <w:rsid w:val="00D33A31"/>
    <w:rsid w:val="00D357D3"/>
    <w:rsid w:val="00D410C8"/>
    <w:rsid w:val="00D41CE3"/>
    <w:rsid w:val="00D42974"/>
    <w:rsid w:val="00D43DC7"/>
    <w:rsid w:val="00D45368"/>
    <w:rsid w:val="00D4648A"/>
    <w:rsid w:val="00D465BD"/>
    <w:rsid w:val="00D46856"/>
    <w:rsid w:val="00D468EF"/>
    <w:rsid w:val="00D50BAD"/>
    <w:rsid w:val="00D511FC"/>
    <w:rsid w:val="00D52270"/>
    <w:rsid w:val="00D522F9"/>
    <w:rsid w:val="00D555A6"/>
    <w:rsid w:val="00D55E67"/>
    <w:rsid w:val="00D5669A"/>
    <w:rsid w:val="00D56A36"/>
    <w:rsid w:val="00D5721E"/>
    <w:rsid w:val="00D57CB8"/>
    <w:rsid w:val="00D57ECD"/>
    <w:rsid w:val="00D6008D"/>
    <w:rsid w:val="00D63387"/>
    <w:rsid w:val="00D6383C"/>
    <w:rsid w:val="00D6426C"/>
    <w:rsid w:val="00D644A6"/>
    <w:rsid w:val="00D6452C"/>
    <w:rsid w:val="00D6487F"/>
    <w:rsid w:val="00D648CE"/>
    <w:rsid w:val="00D65585"/>
    <w:rsid w:val="00D66089"/>
    <w:rsid w:val="00D66846"/>
    <w:rsid w:val="00D671DF"/>
    <w:rsid w:val="00D67FCC"/>
    <w:rsid w:val="00D705FD"/>
    <w:rsid w:val="00D708AE"/>
    <w:rsid w:val="00D709C3"/>
    <w:rsid w:val="00D71275"/>
    <w:rsid w:val="00D73059"/>
    <w:rsid w:val="00D73B62"/>
    <w:rsid w:val="00D73D56"/>
    <w:rsid w:val="00D7422B"/>
    <w:rsid w:val="00D74E0D"/>
    <w:rsid w:val="00D7506C"/>
    <w:rsid w:val="00D75AAE"/>
    <w:rsid w:val="00D76B8C"/>
    <w:rsid w:val="00D76C3A"/>
    <w:rsid w:val="00D8076D"/>
    <w:rsid w:val="00D810CB"/>
    <w:rsid w:val="00D82BA7"/>
    <w:rsid w:val="00D83148"/>
    <w:rsid w:val="00D86404"/>
    <w:rsid w:val="00D872E8"/>
    <w:rsid w:val="00D87B3C"/>
    <w:rsid w:val="00D90673"/>
    <w:rsid w:val="00D91541"/>
    <w:rsid w:val="00D91F11"/>
    <w:rsid w:val="00D931B2"/>
    <w:rsid w:val="00D93733"/>
    <w:rsid w:val="00D93B3B"/>
    <w:rsid w:val="00D94ADB"/>
    <w:rsid w:val="00D95897"/>
    <w:rsid w:val="00D95DB0"/>
    <w:rsid w:val="00D961F9"/>
    <w:rsid w:val="00D96C6F"/>
    <w:rsid w:val="00D96EE3"/>
    <w:rsid w:val="00D977DB"/>
    <w:rsid w:val="00D97B11"/>
    <w:rsid w:val="00DA0596"/>
    <w:rsid w:val="00DA09CD"/>
    <w:rsid w:val="00DA15A2"/>
    <w:rsid w:val="00DA27EA"/>
    <w:rsid w:val="00DA31A8"/>
    <w:rsid w:val="00DA411C"/>
    <w:rsid w:val="00DA42AA"/>
    <w:rsid w:val="00DA573C"/>
    <w:rsid w:val="00DA7CC9"/>
    <w:rsid w:val="00DB0C9E"/>
    <w:rsid w:val="00DB1A5B"/>
    <w:rsid w:val="00DB1D0D"/>
    <w:rsid w:val="00DB2915"/>
    <w:rsid w:val="00DB2C2B"/>
    <w:rsid w:val="00DB4AFE"/>
    <w:rsid w:val="00DB4E6D"/>
    <w:rsid w:val="00DB5FCB"/>
    <w:rsid w:val="00DB623F"/>
    <w:rsid w:val="00DB6400"/>
    <w:rsid w:val="00DB6F62"/>
    <w:rsid w:val="00DB75DA"/>
    <w:rsid w:val="00DC04B2"/>
    <w:rsid w:val="00DC29E3"/>
    <w:rsid w:val="00DC2FB1"/>
    <w:rsid w:val="00DC302B"/>
    <w:rsid w:val="00DC3C75"/>
    <w:rsid w:val="00DC48C5"/>
    <w:rsid w:val="00DC65EB"/>
    <w:rsid w:val="00DC71DD"/>
    <w:rsid w:val="00DC79A5"/>
    <w:rsid w:val="00DC7A48"/>
    <w:rsid w:val="00DC7E01"/>
    <w:rsid w:val="00DD0CA6"/>
    <w:rsid w:val="00DD11F5"/>
    <w:rsid w:val="00DD1313"/>
    <w:rsid w:val="00DD1431"/>
    <w:rsid w:val="00DD1632"/>
    <w:rsid w:val="00DD1AD8"/>
    <w:rsid w:val="00DD1B90"/>
    <w:rsid w:val="00DD20E7"/>
    <w:rsid w:val="00DD30F4"/>
    <w:rsid w:val="00DD32B3"/>
    <w:rsid w:val="00DD35B5"/>
    <w:rsid w:val="00DD3A0D"/>
    <w:rsid w:val="00DD4596"/>
    <w:rsid w:val="00DD46D3"/>
    <w:rsid w:val="00DD572B"/>
    <w:rsid w:val="00DD5861"/>
    <w:rsid w:val="00DD6E31"/>
    <w:rsid w:val="00DD77A5"/>
    <w:rsid w:val="00DD7D0A"/>
    <w:rsid w:val="00DE0981"/>
    <w:rsid w:val="00DE0EBE"/>
    <w:rsid w:val="00DE0F27"/>
    <w:rsid w:val="00DE15A7"/>
    <w:rsid w:val="00DE2FF7"/>
    <w:rsid w:val="00DE3440"/>
    <w:rsid w:val="00DE48AA"/>
    <w:rsid w:val="00DE4BA1"/>
    <w:rsid w:val="00DE5F1D"/>
    <w:rsid w:val="00DE6719"/>
    <w:rsid w:val="00DE75E1"/>
    <w:rsid w:val="00DF063C"/>
    <w:rsid w:val="00DF17FC"/>
    <w:rsid w:val="00DF1A9B"/>
    <w:rsid w:val="00DF1AE1"/>
    <w:rsid w:val="00DF434D"/>
    <w:rsid w:val="00DF4B0C"/>
    <w:rsid w:val="00DF4DC6"/>
    <w:rsid w:val="00DF7028"/>
    <w:rsid w:val="00DF7303"/>
    <w:rsid w:val="00E00C7C"/>
    <w:rsid w:val="00E01F70"/>
    <w:rsid w:val="00E05005"/>
    <w:rsid w:val="00E05065"/>
    <w:rsid w:val="00E051FE"/>
    <w:rsid w:val="00E06D62"/>
    <w:rsid w:val="00E07F52"/>
    <w:rsid w:val="00E100E7"/>
    <w:rsid w:val="00E1022F"/>
    <w:rsid w:val="00E11169"/>
    <w:rsid w:val="00E11229"/>
    <w:rsid w:val="00E114E0"/>
    <w:rsid w:val="00E12148"/>
    <w:rsid w:val="00E1219B"/>
    <w:rsid w:val="00E12D67"/>
    <w:rsid w:val="00E13FFC"/>
    <w:rsid w:val="00E1435B"/>
    <w:rsid w:val="00E14451"/>
    <w:rsid w:val="00E145B2"/>
    <w:rsid w:val="00E15905"/>
    <w:rsid w:val="00E17975"/>
    <w:rsid w:val="00E21178"/>
    <w:rsid w:val="00E2178F"/>
    <w:rsid w:val="00E23B0F"/>
    <w:rsid w:val="00E23E9F"/>
    <w:rsid w:val="00E24156"/>
    <w:rsid w:val="00E25F6B"/>
    <w:rsid w:val="00E2704F"/>
    <w:rsid w:val="00E27480"/>
    <w:rsid w:val="00E30FA2"/>
    <w:rsid w:val="00E31542"/>
    <w:rsid w:val="00E3193A"/>
    <w:rsid w:val="00E31A87"/>
    <w:rsid w:val="00E31BEA"/>
    <w:rsid w:val="00E327F1"/>
    <w:rsid w:val="00E33328"/>
    <w:rsid w:val="00E33408"/>
    <w:rsid w:val="00E337AD"/>
    <w:rsid w:val="00E337D3"/>
    <w:rsid w:val="00E359A8"/>
    <w:rsid w:val="00E370E9"/>
    <w:rsid w:val="00E37390"/>
    <w:rsid w:val="00E37B86"/>
    <w:rsid w:val="00E37D31"/>
    <w:rsid w:val="00E37E4D"/>
    <w:rsid w:val="00E4038F"/>
    <w:rsid w:val="00E41312"/>
    <w:rsid w:val="00E4159C"/>
    <w:rsid w:val="00E42420"/>
    <w:rsid w:val="00E42E09"/>
    <w:rsid w:val="00E4330C"/>
    <w:rsid w:val="00E43BB1"/>
    <w:rsid w:val="00E43D97"/>
    <w:rsid w:val="00E46308"/>
    <w:rsid w:val="00E4678B"/>
    <w:rsid w:val="00E50964"/>
    <w:rsid w:val="00E50B7C"/>
    <w:rsid w:val="00E51436"/>
    <w:rsid w:val="00E514CC"/>
    <w:rsid w:val="00E51F19"/>
    <w:rsid w:val="00E52DF5"/>
    <w:rsid w:val="00E542EB"/>
    <w:rsid w:val="00E54AE5"/>
    <w:rsid w:val="00E54E9D"/>
    <w:rsid w:val="00E56659"/>
    <w:rsid w:val="00E5671D"/>
    <w:rsid w:val="00E56D83"/>
    <w:rsid w:val="00E570E1"/>
    <w:rsid w:val="00E601ED"/>
    <w:rsid w:val="00E60B4E"/>
    <w:rsid w:val="00E61D26"/>
    <w:rsid w:val="00E624F0"/>
    <w:rsid w:val="00E63380"/>
    <w:rsid w:val="00E64603"/>
    <w:rsid w:val="00E646BB"/>
    <w:rsid w:val="00E65158"/>
    <w:rsid w:val="00E6533B"/>
    <w:rsid w:val="00E663BC"/>
    <w:rsid w:val="00E6698E"/>
    <w:rsid w:val="00E6707B"/>
    <w:rsid w:val="00E67358"/>
    <w:rsid w:val="00E67647"/>
    <w:rsid w:val="00E67ABB"/>
    <w:rsid w:val="00E71333"/>
    <w:rsid w:val="00E728B1"/>
    <w:rsid w:val="00E729A7"/>
    <w:rsid w:val="00E72D00"/>
    <w:rsid w:val="00E733C3"/>
    <w:rsid w:val="00E73A4B"/>
    <w:rsid w:val="00E74168"/>
    <w:rsid w:val="00E75AD6"/>
    <w:rsid w:val="00E76106"/>
    <w:rsid w:val="00E76BB2"/>
    <w:rsid w:val="00E7730C"/>
    <w:rsid w:val="00E77398"/>
    <w:rsid w:val="00E8062E"/>
    <w:rsid w:val="00E82DED"/>
    <w:rsid w:val="00E830B5"/>
    <w:rsid w:val="00E8357C"/>
    <w:rsid w:val="00E85948"/>
    <w:rsid w:val="00E859BB"/>
    <w:rsid w:val="00E85B8E"/>
    <w:rsid w:val="00E85CC0"/>
    <w:rsid w:val="00E86C6B"/>
    <w:rsid w:val="00E86DCA"/>
    <w:rsid w:val="00E9042B"/>
    <w:rsid w:val="00E906C2"/>
    <w:rsid w:val="00E907DE"/>
    <w:rsid w:val="00E91EAD"/>
    <w:rsid w:val="00E942C6"/>
    <w:rsid w:val="00E94700"/>
    <w:rsid w:val="00E94D5C"/>
    <w:rsid w:val="00E9632B"/>
    <w:rsid w:val="00E97378"/>
    <w:rsid w:val="00E97401"/>
    <w:rsid w:val="00E97613"/>
    <w:rsid w:val="00E97980"/>
    <w:rsid w:val="00EA002F"/>
    <w:rsid w:val="00EA12C1"/>
    <w:rsid w:val="00EA2CD0"/>
    <w:rsid w:val="00EA3131"/>
    <w:rsid w:val="00EA35F1"/>
    <w:rsid w:val="00EA40D0"/>
    <w:rsid w:val="00EA5136"/>
    <w:rsid w:val="00EA6FB8"/>
    <w:rsid w:val="00EA729C"/>
    <w:rsid w:val="00EB0075"/>
    <w:rsid w:val="00EB0AA3"/>
    <w:rsid w:val="00EB0C32"/>
    <w:rsid w:val="00EB10EB"/>
    <w:rsid w:val="00EB362C"/>
    <w:rsid w:val="00EB4BE2"/>
    <w:rsid w:val="00EB5772"/>
    <w:rsid w:val="00EB687C"/>
    <w:rsid w:val="00EB6CED"/>
    <w:rsid w:val="00EB7996"/>
    <w:rsid w:val="00EC0196"/>
    <w:rsid w:val="00EC1B0D"/>
    <w:rsid w:val="00EC2AFB"/>
    <w:rsid w:val="00EC2F3D"/>
    <w:rsid w:val="00EC35F3"/>
    <w:rsid w:val="00EC50B0"/>
    <w:rsid w:val="00EC6704"/>
    <w:rsid w:val="00EC68DC"/>
    <w:rsid w:val="00EC6D58"/>
    <w:rsid w:val="00EC7E4C"/>
    <w:rsid w:val="00ED0863"/>
    <w:rsid w:val="00ED0FF0"/>
    <w:rsid w:val="00ED1BAB"/>
    <w:rsid w:val="00ED1CE5"/>
    <w:rsid w:val="00ED274A"/>
    <w:rsid w:val="00ED2B55"/>
    <w:rsid w:val="00ED304E"/>
    <w:rsid w:val="00ED5100"/>
    <w:rsid w:val="00ED60BC"/>
    <w:rsid w:val="00ED6746"/>
    <w:rsid w:val="00ED6B82"/>
    <w:rsid w:val="00ED7A5D"/>
    <w:rsid w:val="00EE04C0"/>
    <w:rsid w:val="00EE3FDD"/>
    <w:rsid w:val="00EE4A2B"/>
    <w:rsid w:val="00EE51E9"/>
    <w:rsid w:val="00EE6A61"/>
    <w:rsid w:val="00EE6B84"/>
    <w:rsid w:val="00EE77FE"/>
    <w:rsid w:val="00EE78B0"/>
    <w:rsid w:val="00EF0808"/>
    <w:rsid w:val="00EF178E"/>
    <w:rsid w:val="00EF1FE8"/>
    <w:rsid w:val="00EF28DC"/>
    <w:rsid w:val="00EF37D0"/>
    <w:rsid w:val="00EF37DE"/>
    <w:rsid w:val="00EF478F"/>
    <w:rsid w:val="00EF6D50"/>
    <w:rsid w:val="00EF71D3"/>
    <w:rsid w:val="00F001E0"/>
    <w:rsid w:val="00F00BCC"/>
    <w:rsid w:val="00F00CE3"/>
    <w:rsid w:val="00F00D29"/>
    <w:rsid w:val="00F00F2A"/>
    <w:rsid w:val="00F019EF"/>
    <w:rsid w:val="00F026CC"/>
    <w:rsid w:val="00F0344B"/>
    <w:rsid w:val="00F03A5A"/>
    <w:rsid w:val="00F03D17"/>
    <w:rsid w:val="00F03D9B"/>
    <w:rsid w:val="00F050C6"/>
    <w:rsid w:val="00F05480"/>
    <w:rsid w:val="00F054CE"/>
    <w:rsid w:val="00F05DA3"/>
    <w:rsid w:val="00F06E3A"/>
    <w:rsid w:val="00F06E89"/>
    <w:rsid w:val="00F06F5F"/>
    <w:rsid w:val="00F0713F"/>
    <w:rsid w:val="00F07F81"/>
    <w:rsid w:val="00F149A8"/>
    <w:rsid w:val="00F14BE6"/>
    <w:rsid w:val="00F15B97"/>
    <w:rsid w:val="00F15FFA"/>
    <w:rsid w:val="00F1648A"/>
    <w:rsid w:val="00F1699E"/>
    <w:rsid w:val="00F20CBD"/>
    <w:rsid w:val="00F21E8A"/>
    <w:rsid w:val="00F22A91"/>
    <w:rsid w:val="00F24864"/>
    <w:rsid w:val="00F249F2"/>
    <w:rsid w:val="00F2516F"/>
    <w:rsid w:val="00F25504"/>
    <w:rsid w:val="00F26E75"/>
    <w:rsid w:val="00F278AD"/>
    <w:rsid w:val="00F279D9"/>
    <w:rsid w:val="00F30C23"/>
    <w:rsid w:val="00F30F4B"/>
    <w:rsid w:val="00F310B5"/>
    <w:rsid w:val="00F3462F"/>
    <w:rsid w:val="00F346A3"/>
    <w:rsid w:val="00F351CC"/>
    <w:rsid w:val="00F35611"/>
    <w:rsid w:val="00F36871"/>
    <w:rsid w:val="00F3722C"/>
    <w:rsid w:val="00F372E3"/>
    <w:rsid w:val="00F411A4"/>
    <w:rsid w:val="00F4179D"/>
    <w:rsid w:val="00F419F1"/>
    <w:rsid w:val="00F42DAF"/>
    <w:rsid w:val="00F42EB1"/>
    <w:rsid w:val="00F4318D"/>
    <w:rsid w:val="00F4320E"/>
    <w:rsid w:val="00F43B7F"/>
    <w:rsid w:val="00F43FA1"/>
    <w:rsid w:val="00F4437F"/>
    <w:rsid w:val="00F466B4"/>
    <w:rsid w:val="00F46E19"/>
    <w:rsid w:val="00F50BDC"/>
    <w:rsid w:val="00F51336"/>
    <w:rsid w:val="00F51629"/>
    <w:rsid w:val="00F52B04"/>
    <w:rsid w:val="00F5316D"/>
    <w:rsid w:val="00F540C3"/>
    <w:rsid w:val="00F553AB"/>
    <w:rsid w:val="00F55620"/>
    <w:rsid w:val="00F55DCA"/>
    <w:rsid w:val="00F55F76"/>
    <w:rsid w:val="00F56CBE"/>
    <w:rsid w:val="00F56E56"/>
    <w:rsid w:val="00F57AF3"/>
    <w:rsid w:val="00F600EA"/>
    <w:rsid w:val="00F6065F"/>
    <w:rsid w:val="00F61961"/>
    <w:rsid w:val="00F62060"/>
    <w:rsid w:val="00F62FB6"/>
    <w:rsid w:val="00F63C93"/>
    <w:rsid w:val="00F64787"/>
    <w:rsid w:val="00F64A03"/>
    <w:rsid w:val="00F663B1"/>
    <w:rsid w:val="00F668EA"/>
    <w:rsid w:val="00F70A6B"/>
    <w:rsid w:val="00F7124B"/>
    <w:rsid w:val="00F713CA"/>
    <w:rsid w:val="00F714E1"/>
    <w:rsid w:val="00F715FB"/>
    <w:rsid w:val="00F71B64"/>
    <w:rsid w:val="00F722B3"/>
    <w:rsid w:val="00F7338F"/>
    <w:rsid w:val="00F7431A"/>
    <w:rsid w:val="00F7491C"/>
    <w:rsid w:val="00F74E41"/>
    <w:rsid w:val="00F7592D"/>
    <w:rsid w:val="00F75CD8"/>
    <w:rsid w:val="00F77297"/>
    <w:rsid w:val="00F773CF"/>
    <w:rsid w:val="00F77FAF"/>
    <w:rsid w:val="00F81EF4"/>
    <w:rsid w:val="00F83619"/>
    <w:rsid w:val="00F8395C"/>
    <w:rsid w:val="00F84E3B"/>
    <w:rsid w:val="00F8521F"/>
    <w:rsid w:val="00F85440"/>
    <w:rsid w:val="00F85AF2"/>
    <w:rsid w:val="00F86C29"/>
    <w:rsid w:val="00F90752"/>
    <w:rsid w:val="00F90A7C"/>
    <w:rsid w:val="00F9120B"/>
    <w:rsid w:val="00F915D7"/>
    <w:rsid w:val="00F91B78"/>
    <w:rsid w:val="00F9280A"/>
    <w:rsid w:val="00F9310A"/>
    <w:rsid w:val="00F94B36"/>
    <w:rsid w:val="00F9615B"/>
    <w:rsid w:val="00F961CD"/>
    <w:rsid w:val="00F968B2"/>
    <w:rsid w:val="00F96E4C"/>
    <w:rsid w:val="00F9736F"/>
    <w:rsid w:val="00F97390"/>
    <w:rsid w:val="00F97F04"/>
    <w:rsid w:val="00FA0E86"/>
    <w:rsid w:val="00FA1C9A"/>
    <w:rsid w:val="00FA3C2B"/>
    <w:rsid w:val="00FA4B74"/>
    <w:rsid w:val="00FA4C7F"/>
    <w:rsid w:val="00FA4CBE"/>
    <w:rsid w:val="00FA50B2"/>
    <w:rsid w:val="00FA5BEC"/>
    <w:rsid w:val="00FA684C"/>
    <w:rsid w:val="00FA699B"/>
    <w:rsid w:val="00FA7494"/>
    <w:rsid w:val="00FB1B39"/>
    <w:rsid w:val="00FB205A"/>
    <w:rsid w:val="00FB24E7"/>
    <w:rsid w:val="00FB2A00"/>
    <w:rsid w:val="00FB2CC1"/>
    <w:rsid w:val="00FB43CC"/>
    <w:rsid w:val="00FB4831"/>
    <w:rsid w:val="00FB55AD"/>
    <w:rsid w:val="00FB576F"/>
    <w:rsid w:val="00FB57F7"/>
    <w:rsid w:val="00FB5C39"/>
    <w:rsid w:val="00FB5EF8"/>
    <w:rsid w:val="00FB63F1"/>
    <w:rsid w:val="00FB6955"/>
    <w:rsid w:val="00FB78DF"/>
    <w:rsid w:val="00FC049D"/>
    <w:rsid w:val="00FC13A0"/>
    <w:rsid w:val="00FC27E1"/>
    <w:rsid w:val="00FC3AAA"/>
    <w:rsid w:val="00FC624E"/>
    <w:rsid w:val="00FC6384"/>
    <w:rsid w:val="00FC7282"/>
    <w:rsid w:val="00FC72A6"/>
    <w:rsid w:val="00FC7738"/>
    <w:rsid w:val="00FD30A1"/>
    <w:rsid w:val="00FD39A1"/>
    <w:rsid w:val="00FD3FB9"/>
    <w:rsid w:val="00FD4889"/>
    <w:rsid w:val="00FD4A49"/>
    <w:rsid w:val="00FD4CA0"/>
    <w:rsid w:val="00FD514B"/>
    <w:rsid w:val="00FD5A35"/>
    <w:rsid w:val="00FD605F"/>
    <w:rsid w:val="00FD6AE5"/>
    <w:rsid w:val="00FD6F6F"/>
    <w:rsid w:val="00FE00D2"/>
    <w:rsid w:val="00FE0B24"/>
    <w:rsid w:val="00FE3B9B"/>
    <w:rsid w:val="00FE43DF"/>
    <w:rsid w:val="00FE4A3F"/>
    <w:rsid w:val="00FE5DEB"/>
    <w:rsid w:val="00FE60DC"/>
    <w:rsid w:val="00FF003D"/>
    <w:rsid w:val="00FF1484"/>
    <w:rsid w:val="00FF1859"/>
    <w:rsid w:val="00FF20F9"/>
    <w:rsid w:val="00FF2381"/>
    <w:rsid w:val="00FF2F0C"/>
    <w:rsid w:val="00FF434F"/>
    <w:rsid w:val="00FF6BF7"/>
    <w:rsid w:val="00FF789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41362A"/>
  <w15:chartTrackingRefBased/>
  <w15:docId w15:val="{C0194ECF-6FD7-4E48-8F20-4356946E3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A3F"/>
    <w:pPr>
      <w:spacing w:after="0" w:line="240" w:lineRule="auto"/>
    </w:pPr>
    <w:rPr>
      <w:rFonts w:ascii="Times New Roman" w:eastAsia="Times New Roman" w:hAnsi="Times New Roman" w:cs="Times New Roman"/>
      <w:sz w:val="24"/>
      <w:szCs w:val="24"/>
      <w:lang w:eastAsia="de-DE"/>
    </w:rPr>
  </w:style>
  <w:style w:type="paragraph" w:styleId="Heading1">
    <w:name w:val="heading 1"/>
    <w:basedOn w:val="Heading2"/>
    <w:next w:val="Normal"/>
    <w:link w:val="Heading1Char"/>
    <w:uiPriority w:val="9"/>
    <w:qFormat/>
    <w:rsid w:val="00D6452C"/>
    <w:pPr>
      <w:outlineLvl w:val="0"/>
    </w:pPr>
    <w:rPr>
      <w:smallCaps/>
      <w:sz w:val="28"/>
    </w:rPr>
  </w:style>
  <w:style w:type="paragraph" w:styleId="Heading2">
    <w:name w:val="heading 2"/>
    <w:basedOn w:val="Heading3"/>
    <w:next w:val="Normal"/>
    <w:link w:val="Heading2Char"/>
    <w:uiPriority w:val="9"/>
    <w:unhideWhenUsed/>
    <w:qFormat/>
    <w:rsid w:val="00D6452C"/>
    <w:pPr>
      <w:spacing w:before="120" w:after="120" w:line="240" w:lineRule="auto"/>
      <w:outlineLvl w:val="1"/>
    </w:pPr>
    <w:rPr>
      <w:i w:val="0"/>
    </w:rPr>
  </w:style>
  <w:style w:type="paragraph" w:styleId="Heading3">
    <w:name w:val="heading 3"/>
    <w:basedOn w:val="Normal"/>
    <w:next w:val="Normal"/>
    <w:link w:val="Heading3Char"/>
    <w:uiPriority w:val="9"/>
    <w:unhideWhenUsed/>
    <w:qFormat/>
    <w:rsid w:val="00D6452C"/>
    <w:pPr>
      <w:keepNext/>
      <w:keepLines/>
      <w:spacing w:before="720" w:after="240" w:line="276" w:lineRule="auto"/>
      <w:outlineLvl w:val="2"/>
    </w:pPr>
    <w:rPr>
      <w:i/>
      <w:sz w:val="26"/>
      <w:szCs w:val="20"/>
    </w:rPr>
  </w:style>
  <w:style w:type="paragraph" w:styleId="Heading4">
    <w:name w:val="heading 4"/>
    <w:basedOn w:val="Heading3"/>
    <w:next w:val="Normal"/>
    <w:link w:val="Heading4Char"/>
    <w:uiPriority w:val="9"/>
    <w:unhideWhenUsed/>
    <w:qFormat/>
    <w:rsid w:val="00D6452C"/>
    <w:pPr>
      <w:outlineLvl w:val="3"/>
    </w:pPr>
  </w:style>
  <w:style w:type="paragraph" w:styleId="Heading5">
    <w:name w:val="heading 5"/>
    <w:basedOn w:val="Normal"/>
    <w:next w:val="Normal"/>
    <w:link w:val="Heading5Char"/>
    <w:uiPriority w:val="9"/>
    <w:unhideWhenUsed/>
    <w:qFormat/>
    <w:rsid w:val="00D6452C"/>
    <w:pPr>
      <w:keepNext/>
      <w:keepLines/>
      <w:spacing w:before="40"/>
      <w:outlineLvl w:val="4"/>
    </w:pPr>
    <w:rPr>
      <w:rFonts w:ascii="Calibri Light" w:hAnsi="Calibri Light"/>
      <w:color w:val="2E74B5"/>
    </w:rPr>
  </w:style>
  <w:style w:type="paragraph" w:styleId="Heading6">
    <w:name w:val="heading 6"/>
    <w:basedOn w:val="Normal"/>
    <w:next w:val="Normal"/>
    <w:link w:val="Heading6Char"/>
    <w:uiPriority w:val="9"/>
    <w:unhideWhenUsed/>
    <w:qFormat/>
    <w:rsid w:val="00D6452C"/>
    <w:pPr>
      <w:keepNext/>
      <w:keepLines/>
      <w:spacing w:before="40"/>
      <w:outlineLvl w:val="5"/>
    </w:pPr>
    <w:rPr>
      <w:rFonts w:ascii="Calibri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52C"/>
    <w:rPr>
      <w:rFonts w:ascii="Garamond" w:eastAsia="Times New Roman" w:hAnsi="Garamond" w:cs="Times New Roman"/>
      <w:smallCaps/>
      <w:sz w:val="28"/>
      <w:szCs w:val="20"/>
      <w:lang w:val="it-IT"/>
    </w:rPr>
  </w:style>
  <w:style w:type="character" w:customStyle="1" w:styleId="Heading2Char">
    <w:name w:val="Heading 2 Char"/>
    <w:basedOn w:val="DefaultParagraphFont"/>
    <w:link w:val="Heading2"/>
    <w:uiPriority w:val="9"/>
    <w:rsid w:val="00D6452C"/>
    <w:rPr>
      <w:rFonts w:ascii="Garamond" w:eastAsia="Times New Roman" w:hAnsi="Garamond" w:cs="Times New Roman"/>
      <w:sz w:val="26"/>
      <w:szCs w:val="20"/>
      <w:lang w:val="it-IT"/>
    </w:rPr>
  </w:style>
  <w:style w:type="character" w:customStyle="1" w:styleId="Heading3Char">
    <w:name w:val="Heading 3 Char"/>
    <w:basedOn w:val="DefaultParagraphFont"/>
    <w:link w:val="Heading3"/>
    <w:uiPriority w:val="9"/>
    <w:rsid w:val="00D6452C"/>
    <w:rPr>
      <w:rFonts w:ascii="Garamond" w:eastAsia="Times New Roman" w:hAnsi="Garamond" w:cs="Times New Roman"/>
      <w:i/>
      <w:sz w:val="26"/>
      <w:szCs w:val="20"/>
      <w:lang w:val="it-IT"/>
    </w:rPr>
  </w:style>
  <w:style w:type="character" w:customStyle="1" w:styleId="Heading4Char">
    <w:name w:val="Heading 4 Char"/>
    <w:basedOn w:val="DefaultParagraphFont"/>
    <w:link w:val="Heading4"/>
    <w:uiPriority w:val="9"/>
    <w:rsid w:val="00D6452C"/>
    <w:rPr>
      <w:rFonts w:ascii="Garamond" w:eastAsia="Times New Roman" w:hAnsi="Garamond" w:cs="Times New Roman"/>
      <w:i/>
      <w:sz w:val="26"/>
      <w:szCs w:val="20"/>
      <w:lang w:val="it-IT"/>
    </w:rPr>
  </w:style>
  <w:style w:type="character" w:customStyle="1" w:styleId="Heading5Char">
    <w:name w:val="Heading 5 Char"/>
    <w:basedOn w:val="DefaultParagraphFont"/>
    <w:link w:val="Heading5"/>
    <w:uiPriority w:val="9"/>
    <w:rsid w:val="00D6452C"/>
    <w:rPr>
      <w:rFonts w:ascii="Calibri Light" w:eastAsia="Times New Roman" w:hAnsi="Calibri Light" w:cs="Times New Roman"/>
      <w:color w:val="2E74B5"/>
      <w:sz w:val="24"/>
      <w:lang w:val="it-IT"/>
    </w:rPr>
  </w:style>
  <w:style w:type="character" w:customStyle="1" w:styleId="Heading6Char">
    <w:name w:val="Heading 6 Char"/>
    <w:basedOn w:val="DefaultParagraphFont"/>
    <w:link w:val="Heading6"/>
    <w:uiPriority w:val="9"/>
    <w:rsid w:val="00D6452C"/>
    <w:rPr>
      <w:rFonts w:ascii="Calibri Light" w:eastAsia="Times New Roman" w:hAnsi="Calibri Light" w:cs="Times New Roman"/>
      <w:color w:val="1F4D78"/>
      <w:sz w:val="24"/>
      <w:lang w:val="it-IT"/>
    </w:rPr>
  </w:style>
  <w:style w:type="character" w:styleId="Hyperlink">
    <w:name w:val="Hyperlink"/>
    <w:uiPriority w:val="99"/>
    <w:unhideWhenUsed/>
    <w:rsid w:val="00D6452C"/>
    <w:rPr>
      <w:color w:val="0563C1"/>
      <w:u w:val="single"/>
    </w:rPr>
  </w:style>
  <w:style w:type="paragraph" w:styleId="ListParagraph">
    <w:name w:val="List Paragraph"/>
    <w:basedOn w:val="Normal"/>
    <w:uiPriority w:val="34"/>
    <w:qFormat/>
    <w:rsid w:val="00D6452C"/>
    <w:pPr>
      <w:ind w:left="720"/>
      <w:contextualSpacing/>
    </w:pPr>
  </w:style>
  <w:style w:type="paragraph" w:styleId="FootnoteText">
    <w:name w:val="footnote text"/>
    <w:aliases w:val="Testo nota a piè di pagina Carattere Carattere,Testo nota a piè di pagina Carattere1 Carattere Carattere,Testo nota a piè di pagina Carattere Carattere Carattere Carattere,Carattere,Carattere Carattere Carattere Carattere"/>
    <w:basedOn w:val="Normal"/>
    <w:link w:val="FootnoteTextChar"/>
    <w:uiPriority w:val="99"/>
    <w:unhideWhenUsed/>
    <w:qFormat/>
    <w:rsid w:val="00D6452C"/>
    <w:rPr>
      <w:sz w:val="20"/>
      <w:szCs w:val="20"/>
    </w:rPr>
  </w:style>
  <w:style w:type="character" w:customStyle="1" w:styleId="FootnoteTextChar">
    <w:name w:val="Footnote Text Char"/>
    <w:aliases w:val="Testo nota a piè di pagina Carattere Carattere Char,Testo nota a piè di pagina Carattere1 Carattere Carattere Char,Testo nota a piè di pagina Carattere Carattere Carattere Carattere Char,Carattere Char"/>
    <w:basedOn w:val="DefaultParagraphFont"/>
    <w:link w:val="FootnoteText"/>
    <w:uiPriority w:val="99"/>
    <w:rsid w:val="00D6452C"/>
    <w:rPr>
      <w:rFonts w:ascii="Garamond" w:eastAsia="Calibri" w:hAnsi="Garamond" w:cs="Times New Roman"/>
      <w:sz w:val="20"/>
      <w:szCs w:val="20"/>
      <w:lang w:val="it-IT"/>
    </w:rPr>
  </w:style>
  <w:style w:type="character" w:styleId="FootnoteReference">
    <w:name w:val="footnote reference"/>
    <w:uiPriority w:val="99"/>
    <w:unhideWhenUsed/>
    <w:rsid w:val="00D6452C"/>
    <w:rPr>
      <w:rFonts w:ascii="Garamond" w:hAnsi="Garamond"/>
      <w:sz w:val="24"/>
      <w:vertAlign w:val="superscript"/>
    </w:rPr>
  </w:style>
  <w:style w:type="paragraph" w:styleId="Header">
    <w:name w:val="header"/>
    <w:basedOn w:val="Normal"/>
    <w:link w:val="HeaderChar"/>
    <w:uiPriority w:val="99"/>
    <w:unhideWhenUsed/>
    <w:rsid w:val="00D6452C"/>
    <w:pPr>
      <w:tabs>
        <w:tab w:val="center" w:pos="4536"/>
        <w:tab w:val="right" w:pos="9072"/>
      </w:tabs>
    </w:pPr>
  </w:style>
  <w:style w:type="character" w:customStyle="1" w:styleId="HeaderChar">
    <w:name w:val="Header Char"/>
    <w:basedOn w:val="DefaultParagraphFont"/>
    <w:link w:val="Header"/>
    <w:uiPriority w:val="99"/>
    <w:rsid w:val="00D6452C"/>
    <w:rPr>
      <w:rFonts w:ascii="Garamond" w:eastAsia="Calibri" w:hAnsi="Garamond" w:cs="Times New Roman"/>
      <w:sz w:val="24"/>
      <w:lang w:val="it-IT"/>
    </w:rPr>
  </w:style>
  <w:style w:type="paragraph" w:styleId="Footer">
    <w:name w:val="footer"/>
    <w:basedOn w:val="Normal"/>
    <w:link w:val="FooterChar"/>
    <w:uiPriority w:val="99"/>
    <w:unhideWhenUsed/>
    <w:rsid w:val="00D6452C"/>
    <w:pPr>
      <w:tabs>
        <w:tab w:val="center" w:pos="4536"/>
        <w:tab w:val="right" w:pos="9072"/>
      </w:tabs>
    </w:pPr>
  </w:style>
  <w:style w:type="character" w:customStyle="1" w:styleId="FooterChar">
    <w:name w:val="Footer Char"/>
    <w:basedOn w:val="DefaultParagraphFont"/>
    <w:link w:val="Footer"/>
    <w:uiPriority w:val="99"/>
    <w:rsid w:val="00D6452C"/>
    <w:rPr>
      <w:rFonts w:ascii="Garamond" w:eastAsia="Calibri" w:hAnsi="Garamond" w:cs="Times New Roman"/>
      <w:sz w:val="24"/>
      <w:lang w:val="it-IT"/>
    </w:rPr>
  </w:style>
  <w:style w:type="paragraph" w:customStyle="1" w:styleId="about-text">
    <w:name w:val="about-text"/>
    <w:basedOn w:val="Normal"/>
    <w:rsid w:val="00D6452C"/>
    <w:pPr>
      <w:spacing w:before="100" w:beforeAutospacing="1" w:after="100" w:afterAutospacing="1"/>
    </w:pPr>
  </w:style>
  <w:style w:type="paragraph" w:customStyle="1" w:styleId="Default">
    <w:name w:val="Default"/>
    <w:rsid w:val="00D6452C"/>
    <w:pPr>
      <w:autoSpaceDE w:val="0"/>
      <w:autoSpaceDN w:val="0"/>
      <w:adjustRightInd w:val="0"/>
      <w:spacing w:after="0" w:line="240" w:lineRule="auto"/>
    </w:pPr>
    <w:rPr>
      <w:rFonts w:ascii="Cambria" w:eastAsia="Calibri" w:hAnsi="Cambria" w:cs="Cambria"/>
      <w:color w:val="000000"/>
      <w:sz w:val="24"/>
      <w:szCs w:val="24"/>
    </w:rPr>
  </w:style>
  <w:style w:type="character" w:styleId="Emphasis">
    <w:name w:val="Emphasis"/>
    <w:uiPriority w:val="20"/>
    <w:qFormat/>
    <w:rsid w:val="00D6452C"/>
    <w:rPr>
      <w:i/>
      <w:iCs/>
    </w:rPr>
  </w:style>
  <w:style w:type="paragraph" w:customStyle="1" w:styleId="selectionshareable">
    <w:name w:val="selectionshareable"/>
    <w:basedOn w:val="Normal"/>
    <w:rsid w:val="00D6452C"/>
    <w:pPr>
      <w:spacing w:before="100" w:beforeAutospacing="1" w:after="100" w:afterAutospacing="1"/>
    </w:pPr>
  </w:style>
  <w:style w:type="paragraph" w:styleId="NoSpacing">
    <w:name w:val="No Spacing"/>
    <w:uiPriority w:val="1"/>
    <w:qFormat/>
    <w:rsid w:val="00D6452C"/>
    <w:pPr>
      <w:spacing w:after="0" w:line="240" w:lineRule="auto"/>
    </w:pPr>
    <w:rPr>
      <w:rFonts w:ascii="Calibri" w:eastAsia="Calibri" w:hAnsi="Calibri" w:cs="Times New Roman"/>
    </w:rPr>
  </w:style>
  <w:style w:type="character" w:styleId="FollowedHyperlink">
    <w:name w:val="FollowedHyperlink"/>
    <w:uiPriority w:val="99"/>
    <w:semiHidden/>
    <w:unhideWhenUsed/>
    <w:rsid w:val="00D6452C"/>
    <w:rPr>
      <w:color w:val="954F72"/>
      <w:u w:val="single"/>
    </w:rPr>
  </w:style>
  <w:style w:type="paragraph" w:styleId="NormalWeb">
    <w:name w:val="Normal (Web)"/>
    <w:basedOn w:val="Normal"/>
    <w:uiPriority w:val="99"/>
    <w:unhideWhenUsed/>
    <w:rsid w:val="00D6452C"/>
    <w:pPr>
      <w:spacing w:before="100" w:beforeAutospacing="1" w:after="100" w:afterAutospacing="1"/>
    </w:pPr>
  </w:style>
  <w:style w:type="character" w:customStyle="1" w:styleId="addmd">
    <w:name w:val="addmd"/>
    <w:basedOn w:val="DefaultParagraphFont"/>
    <w:rsid w:val="00D6452C"/>
  </w:style>
  <w:style w:type="character" w:customStyle="1" w:styleId="current-selection">
    <w:name w:val="current-selection"/>
    <w:basedOn w:val="DefaultParagraphFont"/>
    <w:rsid w:val="00D6452C"/>
  </w:style>
  <w:style w:type="character" w:customStyle="1" w:styleId="a">
    <w:name w:val="_"/>
    <w:basedOn w:val="DefaultParagraphFont"/>
    <w:rsid w:val="00D6452C"/>
  </w:style>
  <w:style w:type="paragraph" w:styleId="ListBullet">
    <w:name w:val="List Bullet"/>
    <w:basedOn w:val="Normal"/>
    <w:uiPriority w:val="99"/>
    <w:unhideWhenUsed/>
    <w:rsid w:val="00D6452C"/>
    <w:pPr>
      <w:numPr>
        <w:numId w:val="13"/>
      </w:numPr>
      <w:contextualSpacing/>
    </w:pPr>
  </w:style>
  <w:style w:type="paragraph" w:styleId="TOC2">
    <w:name w:val="toc 2"/>
    <w:basedOn w:val="Normal"/>
    <w:next w:val="Normal"/>
    <w:autoRedefine/>
    <w:uiPriority w:val="39"/>
    <w:unhideWhenUsed/>
    <w:rsid w:val="00F4320E"/>
    <w:pPr>
      <w:tabs>
        <w:tab w:val="left" w:pos="960"/>
        <w:tab w:val="right" w:leader="dot" w:pos="9638"/>
      </w:tabs>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063872"/>
    <w:pPr>
      <w:tabs>
        <w:tab w:val="left" w:pos="1200"/>
        <w:tab w:val="right" w:leader="dot" w:pos="9639"/>
      </w:tabs>
      <w:ind w:left="567" w:right="-1"/>
    </w:pPr>
    <w:rPr>
      <w:rFonts w:asciiTheme="minorHAnsi" w:hAnsiTheme="minorHAnsi" w:cstheme="minorHAnsi"/>
      <w:i/>
      <w:iCs/>
      <w:sz w:val="20"/>
      <w:szCs w:val="20"/>
    </w:rPr>
  </w:style>
  <w:style w:type="paragraph" w:styleId="TOC4">
    <w:name w:val="toc 4"/>
    <w:basedOn w:val="Normal"/>
    <w:next w:val="Normal"/>
    <w:autoRedefine/>
    <w:uiPriority w:val="39"/>
    <w:unhideWhenUsed/>
    <w:rsid w:val="00CD09E8"/>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D6452C"/>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D6452C"/>
    <w:pPr>
      <w:ind w:left="1200"/>
    </w:pPr>
    <w:rPr>
      <w:rFonts w:asciiTheme="minorHAnsi" w:hAnsiTheme="minorHAnsi" w:cstheme="minorHAnsi"/>
      <w:sz w:val="18"/>
      <w:szCs w:val="18"/>
    </w:rPr>
  </w:style>
  <w:style w:type="paragraph" w:styleId="TOCHeading">
    <w:name w:val="TOC Heading"/>
    <w:basedOn w:val="Heading1"/>
    <w:next w:val="Normal"/>
    <w:uiPriority w:val="39"/>
    <w:unhideWhenUsed/>
    <w:qFormat/>
    <w:rsid w:val="00D6452C"/>
    <w:pPr>
      <w:spacing w:before="240" w:after="0" w:line="259" w:lineRule="auto"/>
      <w:outlineLvl w:val="9"/>
    </w:pPr>
    <w:rPr>
      <w:rFonts w:ascii="Calibri Light" w:hAnsi="Calibri Light"/>
      <w:smallCaps w:val="0"/>
      <w:color w:val="2E74B5"/>
      <w:sz w:val="32"/>
      <w:szCs w:val="32"/>
      <w:lang w:eastAsia="it-IT"/>
    </w:rPr>
  </w:style>
  <w:style w:type="paragraph" w:styleId="TOC1">
    <w:name w:val="toc 1"/>
    <w:basedOn w:val="Normal"/>
    <w:next w:val="Normal"/>
    <w:autoRedefine/>
    <w:uiPriority w:val="39"/>
    <w:unhideWhenUsed/>
    <w:rsid w:val="00EF37DE"/>
    <w:pPr>
      <w:tabs>
        <w:tab w:val="left" w:pos="480"/>
        <w:tab w:val="right" w:leader="dot" w:pos="9638"/>
      </w:tabs>
      <w:spacing w:before="120" w:after="120"/>
      <w:ind w:right="-1"/>
    </w:pPr>
    <w:rPr>
      <w:rFonts w:asciiTheme="minorHAnsi" w:hAnsiTheme="minorHAnsi" w:cstheme="minorHAnsi"/>
      <w:b/>
      <w:bCs/>
      <w:caps/>
      <w:sz w:val="20"/>
      <w:szCs w:val="20"/>
    </w:rPr>
  </w:style>
  <w:style w:type="paragraph" w:styleId="TOC7">
    <w:name w:val="toc 7"/>
    <w:basedOn w:val="Normal"/>
    <w:next w:val="Normal"/>
    <w:autoRedefine/>
    <w:uiPriority w:val="39"/>
    <w:unhideWhenUsed/>
    <w:rsid w:val="00D6452C"/>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D6452C"/>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D6452C"/>
    <w:pPr>
      <w:ind w:left="1920"/>
    </w:pPr>
    <w:rPr>
      <w:rFonts w:asciiTheme="minorHAnsi" w:hAnsiTheme="minorHAnsi" w:cstheme="minorHAnsi"/>
      <w:sz w:val="18"/>
      <w:szCs w:val="18"/>
    </w:rPr>
  </w:style>
  <w:style w:type="character" w:styleId="CommentReference">
    <w:name w:val="annotation reference"/>
    <w:uiPriority w:val="99"/>
    <w:semiHidden/>
    <w:unhideWhenUsed/>
    <w:rsid w:val="00D6452C"/>
    <w:rPr>
      <w:sz w:val="16"/>
      <w:szCs w:val="16"/>
    </w:rPr>
  </w:style>
  <w:style w:type="paragraph" w:styleId="CommentText">
    <w:name w:val="annotation text"/>
    <w:basedOn w:val="Normal"/>
    <w:link w:val="CommentTextChar"/>
    <w:uiPriority w:val="99"/>
    <w:semiHidden/>
    <w:unhideWhenUsed/>
    <w:rsid w:val="00D6452C"/>
    <w:rPr>
      <w:sz w:val="20"/>
      <w:szCs w:val="20"/>
    </w:rPr>
  </w:style>
  <w:style w:type="character" w:customStyle="1" w:styleId="CommentTextChar">
    <w:name w:val="Comment Text Char"/>
    <w:basedOn w:val="DefaultParagraphFont"/>
    <w:link w:val="CommentText"/>
    <w:uiPriority w:val="99"/>
    <w:semiHidden/>
    <w:rsid w:val="00D6452C"/>
    <w:rPr>
      <w:rFonts w:ascii="Garamond" w:eastAsia="Calibri" w:hAnsi="Garamond" w:cs="Times New Roman"/>
      <w:sz w:val="20"/>
      <w:szCs w:val="20"/>
      <w:lang w:val="it-IT"/>
    </w:rPr>
  </w:style>
  <w:style w:type="paragraph" w:styleId="CommentSubject">
    <w:name w:val="annotation subject"/>
    <w:basedOn w:val="CommentText"/>
    <w:next w:val="CommentText"/>
    <w:link w:val="CommentSubjectChar"/>
    <w:uiPriority w:val="99"/>
    <w:semiHidden/>
    <w:unhideWhenUsed/>
    <w:rsid w:val="00D6452C"/>
    <w:rPr>
      <w:b/>
      <w:bCs/>
    </w:rPr>
  </w:style>
  <w:style w:type="character" w:customStyle="1" w:styleId="CommentSubjectChar">
    <w:name w:val="Comment Subject Char"/>
    <w:basedOn w:val="CommentTextChar"/>
    <w:link w:val="CommentSubject"/>
    <w:uiPriority w:val="99"/>
    <w:semiHidden/>
    <w:rsid w:val="00D6452C"/>
    <w:rPr>
      <w:rFonts w:ascii="Garamond" w:eastAsia="Calibri" w:hAnsi="Garamond" w:cs="Times New Roman"/>
      <w:b/>
      <w:bCs/>
      <w:sz w:val="20"/>
      <w:szCs w:val="20"/>
      <w:lang w:val="it-IT"/>
    </w:rPr>
  </w:style>
  <w:style w:type="paragraph" w:styleId="BalloonText">
    <w:name w:val="Balloon Text"/>
    <w:basedOn w:val="Normal"/>
    <w:link w:val="BalloonTextChar"/>
    <w:uiPriority w:val="99"/>
    <w:semiHidden/>
    <w:unhideWhenUsed/>
    <w:rsid w:val="00D645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52C"/>
    <w:rPr>
      <w:rFonts w:ascii="Segoe UI" w:eastAsia="Calibri" w:hAnsi="Segoe UI" w:cs="Segoe UI"/>
      <w:sz w:val="18"/>
      <w:szCs w:val="18"/>
      <w:lang w:val="it-IT"/>
    </w:rPr>
  </w:style>
  <w:style w:type="paragraph" w:styleId="Revision">
    <w:name w:val="Revision"/>
    <w:hidden/>
    <w:uiPriority w:val="99"/>
    <w:semiHidden/>
    <w:rsid w:val="00D6452C"/>
    <w:pPr>
      <w:spacing w:after="0" w:line="240" w:lineRule="auto"/>
    </w:pPr>
    <w:rPr>
      <w:rFonts w:ascii="Garamond" w:eastAsia="Calibri" w:hAnsi="Garamond" w:cs="Times New Roman"/>
      <w:sz w:val="24"/>
    </w:rPr>
  </w:style>
  <w:style w:type="paragraph" w:styleId="EndnoteText">
    <w:name w:val="endnote text"/>
    <w:basedOn w:val="Normal"/>
    <w:link w:val="EndnoteTextChar"/>
    <w:uiPriority w:val="99"/>
    <w:semiHidden/>
    <w:unhideWhenUsed/>
    <w:rsid w:val="00D6452C"/>
    <w:rPr>
      <w:sz w:val="20"/>
      <w:szCs w:val="20"/>
    </w:rPr>
  </w:style>
  <w:style w:type="character" w:customStyle="1" w:styleId="EndnoteTextChar">
    <w:name w:val="Endnote Text Char"/>
    <w:basedOn w:val="DefaultParagraphFont"/>
    <w:link w:val="EndnoteText"/>
    <w:uiPriority w:val="99"/>
    <w:semiHidden/>
    <w:rsid w:val="00D6452C"/>
    <w:rPr>
      <w:rFonts w:ascii="Garamond" w:eastAsia="Calibri" w:hAnsi="Garamond" w:cs="Times New Roman"/>
      <w:sz w:val="20"/>
      <w:szCs w:val="20"/>
      <w:lang w:val="it-IT"/>
    </w:rPr>
  </w:style>
  <w:style w:type="character" w:styleId="EndnoteReference">
    <w:name w:val="endnote reference"/>
    <w:basedOn w:val="DefaultParagraphFont"/>
    <w:uiPriority w:val="99"/>
    <w:semiHidden/>
    <w:unhideWhenUsed/>
    <w:rsid w:val="00D6452C"/>
    <w:rPr>
      <w:vertAlign w:val="superscript"/>
    </w:rPr>
  </w:style>
  <w:style w:type="character" w:styleId="PageNumber">
    <w:name w:val="page number"/>
    <w:basedOn w:val="DefaultParagraphFont"/>
    <w:uiPriority w:val="99"/>
    <w:semiHidden/>
    <w:unhideWhenUsed/>
    <w:rsid w:val="00D6452C"/>
  </w:style>
  <w:style w:type="character" w:customStyle="1" w:styleId="FunotentextZchn1">
    <w:name w:val="Fußnotentext Zchn1"/>
    <w:aliases w:val="Testo nota a piè di pagina Carattere Carattere Zchn1,Testo nota a piè di pagina Carattere1 Carattere Carattere Zchn1,Testo nota a piè di pagina Carattere Carattere Carattere Carattere Zchn1,Carattere Zchn1"/>
    <w:uiPriority w:val="99"/>
    <w:rsid w:val="00D6452C"/>
    <w:rPr>
      <w:rFonts w:ascii="Times New Roman" w:eastAsia="Times New Roman" w:hAnsi="Times New Roman"/>
      <w:lang w:val="it-IT" w:eastAsia="it-IT"/>
    </w:rPr>
  </w:style>
  <w:style w:type="paragraph" w:styleId="DocumentMap">
    <w:name w:val="Document Map"/>
    <w:basedOn w:val="Normal"/>
    <w:link w:val="DocumentMapChar"/>
    <w:uiPriority w:val="99"/>
    <w:semiHidden/>
    <w:unhideWhenUsed/>
    <w:rsid w:val="00D6452C"/>
  </w:style>
  <w:style w:type="character" w:customStyle="1" w:styleId="DocumentMapChar">
    <w:name w:val="Document Map Char"/>
    <w:basedOn w:val="DefaultParagraphFont"/>
    <w:link w:val="DocumentMap"/>
    <w:uiPriority w:val="99"/>
    <w:semiHidden/>
    <w:rsid w:val="00D6452C"/>
    <w:rPr>
      <w:rFonts w:ascii="Times New Roman" w:eastAsia="Calibri" w:hAnsi="Times New Roman" w:cs="Times New Roman"/>
      <w:sz w:val="24"/>
      <w:szCs w:val="24"/>
      <w:lang w:val="it-IT"/>
    </w:rPr>
  </w:style>
  <w:style w:type="character" w:customStyle="1" w:styleId="apple-converted-space">
    <w:name w:val="apple-converted-space"/>
    <w:basedOn w:val="DefaultParagraphFont"/>
    <w:rsid w:val="00D6452C"/>
  </w:style>
  <w:style w:type="character" w:styleId="Strong">
    <w:name w:val="Strong"/>
    <w:basedOn w:val="DefaultParagraphFont"/>
    <w:uiPriority w:val="22"/>
    <w:qFormat/>
    <w:rsid w:val="00002AE1"/>
    <w:rPr>
      <w:b/>
      <w:bCs/>
    </w:rPr>
  </w:style>
  <w:style w:type="character" w:customStyle="1" w:styleId="NichtaufgelsteErwhnung1">
    <w:name w:val="Nicht aufgelöste Erwähnung1"/>
    <w:basedOn w:val="DefaultParagraphFont"/>
    <w:uiPriority w:val="99"/>
    <w:semiHidden/>
    <w:unhideWhenUsed/>
    <w:rsid w:val="0058321C"/>
    <w:rPr>
      <w:color w:val="605E5C"/>
      <w:shd w:val="clear" w:color="auto" w:fill="E1DFDD"/>
    </w:rPr>
  </w:style>
  <w:style w:type="character" w:customStyle="1" w:styleId="lxbaf-templatetags-getauthors">
    <w:name w:val="lxb_af-template_tags-get_authors"/>
    <w:basedOn w:val="DefaultParagraphFont"/>
    <w:rsid w:val="00BF6F06"/>
  </w:style>
  <w:style w:type="character" w:customStyle="1" w:styleId="smallcaps">
    <w:name w:val="smallcaps"/>
    <w:basedOn w:val="DefaultParagraphFont"/>
    <w:rsid w:val="00781DCE"/>
  </w:style>
  <w:style w:type="character" w:customStyle="1" w:styleId="gridtitle">
    <w:name w:val="grid_title"/>
    <w:basedOn w:val="DefaultParagraphFont"/>
    <w:rsid w:val="00DB623F"/>
  </w:style>
  <w:style w:type="character" w:styleId="HTMLCite">
    <w:name w:val="HTML Cite"/>
    <w:basedOn w:val="DefaultParagraphFont"/>
    <w:uiPriority w:val="99"/>
    <w:semiHidden/>
    <w:unhideWhenUsed/>
    <w:rsid w:val="006904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9576">
      <w:bodyDiv w:val="1"/>
      <w:marLeft w:val="0"/>
      <w:marRight w:val="0"/>
      <w:marTop w:val="0"/>
      <w:marBottom w:val="0"/>
      <w:divBdr>
        <w:top w:val="none" w:sz="0" w:space="0" w:color="auto"/>
        <w:left w:val="none" w:sz="0" w:space="0" w:color="auto"/>
        <w:bottom w:val="none" w:sz="0" w:space="0" w:color="auto"/>
        <w:right w:val="none" w:sz="0" w:space="0" w:color="auto"/>
      </w:divBdr>
    </w:div>
    <w:div w:id="59135078">
      <w:bodyDiv w:val="1"/>
      <w:marLeft w:val="0"/>
      <w:marRight w:val="0"/>
      <w:marTop w:val="0"/>
      <w:marBottom w:val="0"/>
      <w:divBdr>
        <w:top w:val="none" w:sz="0" w:space="0" w:color="auto"/>
        <w:left w:val="none" w:sz="0" w:space="0" w:color="auto"/>
        <w:bottom w:val="none" w:sz="0" w:space="0" w:color="auto"/>
        <w:right w:val="none" w:sz="0" w:space="0" w:color="auto"/>
      </w:divBdr>
      <w:divsChild>
        <w:div w:id="270213382">
          <w:marLeft w:val="0"/>
          <w:marRight w:val="0"/>
          <w:marTop w:val="0"/>
          <w:marBottom w:val="0"/>
          <w:divBdr>
            <w:top w:val="none" w:sz="0" w:space="0" w:color="auto"/>
            <w:left w:val="none" w:sz="0" w:space="0" w:color="auto"/>
            <w:bottom w:val="none" w:sz="0" w:space="0" w:color="auto"/>
            <w:right w:val="none" w:sz="0" w:space="0" w:color="auto"/>
          </w:divBdr>
          <w:divsChild>
            <w:div w:id="300312140">
              <w:marLeft w:val="0"/>
              <w:marRight w:val="0"/>
              <w:marTop w:val="0"/>
              <w:marBottom w:val="0"/>
              <w:divBdr>
                <w:top w:val="none" w:sz="0" w:space="0" w:color="auto"/>
                <w:left w:val="none" w:sz="0" w:space="0" w:color="auto"/>
                <w:bottom w:val="none" w:sz="0" w:space="0" w:color="auto"/>
                <w:right w:val="none" w:sz="0" w:space="0" w:color="auto"/>
              </w:divBdr>
              <w:divsChild>
                <w:div w:id="93174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4001">
      <w:bodyDiv w:val="1"/>
      <w:marLeft w:val="0"/>
      <w:marRight w:val="0"/>
      <w:marTop w:val="0"/>
      <w:marBottom w:val="0"/>
      <w:divBdr>
        <w:top w:val="none" w:sz="0" w:space="0" w:color="auto"/>
        <w:left w:val="none" w:sz="0" w:space="0" w:color="auto"/>
        <w:bottom w:val="none" w:sz="0" w:space="0" w:color="auto"/>
        <w:right w:val="none" w:sz="0" w:space="0" w:color="auto"/>
      </w:divBdr>
    </w:div>
    <w:div w:id="151993687">
      <w:bodyDiv w:val="1"/>
      <w:marLeft w:val="0"/>
      <w:marRight w:val="0"/>
      <w:marTop w:val="0"/>
      <w:marBottom w:val="0"/>
      <w:divBdr>
        <w:top w:val="none" w:sz="0" w:space="0" w:color="auto"/>
        <w:left w:val="none" w:sz="0" w:space="0" w:color="auto"/>
        <w:bottom w:val="none" w:sz="0" w:space="0" w:color="auto"/>
        <w:right w:val="none" w:sz="0" w:space="0" w:color="auto"/>
      </w:divBdr>
    </w:div>
    <w:div w:id="160856938">
      <w:bodyDiv w:val="1"/>
      <w:marLeft w:val="0"/>
      <w:marRight w:val="0"/>
      <w:marTop w:val="0"/>
      <w:marBottom w:val="0"/>
      <w:divBdr>
        <w:top w:val="none" w:sz="0" w:space="0" w:color="auto"/>
        <w:left w:val="none" w:sz="0" w:space="0" w:color="auto"/>
        <w:bottom w:val="none" w:sz="0" w:space="0" w:color="auto"/>
        <w:right w:val="none" w:sz="0" w:space="0" w:color="auto"/>
      </w:divBdr>
      <w:divsChild>
        <w:div w:id="1535072179">
          <w:marLeft w:val="0"/>
          <w:marRight w:val="0"/>
          <w:marTop w:val="0"/>
          <w:marBottom w:val="0"/>
          <w:divBdr>
            <w:top w:val="none" w:sz="0" w:space="0" w:color="auto"/>
            <w:left w:val="none" w:sz="0" w:space="0" w:color="auto"/>
            <w:bottom w:val="none" w:sz="0" w:space="0" w:color="auto"/>
            <w:right w:val="none" w:sz="0" w:space="0" w:color="auto"/>
          </w:divBdr>
          <w:divsChild>
            <w:div w:id="1045642580">
              <w:marLeft w:val="0"/>
              <w:marRight w:val="0"/>
              <w:marTop w:val="0"/>
              <w:marBottom w:val="0"/>
              <w:divBdr>
                <w:top w:val="none" w:sz="0" w:space="0" w:color="auto"/>
                <w:left w:val="none" w:sz="0" w:space="0" w:color="auto"/>
                <w:bottom w:val="none" w:sz="0" w:space="0" w:color="auto"/>
                <w:right w:val="none" w:sz="0" w:space="0" w:color="auto"/>
              </w:divBdr>
              <w:divsChild>
                <w:div w:id="73401344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73032137">
      <w:bodyDiv w:val="1"/>
      <w:marLeft w:val="0"/>
      <w:marRight w:val="0"/>
      <w:marTop w:val="0"/>
      <w:marBottom w:val="0"/>
      <w:divBdr>
        <w:top w:val="none" w:sz="0" w:space="0" w:color="auto"/>
        <w:left w:val="none" w:sz="0" w:space="0" w:color="auto"/>
        <w:bottom w:val="none" w:sz="0" w:space="0" w:color="auto"/>
        <w:right w:val="none" w:sz="0" w:space="0" w:color="auto"/>
      </w:divBdr>
    </w:div>
    <w:div w:id="253320152">
      <w:bodyDiv w:val="1"/>
      <w:marLeft w:val="0"/>
      <w:marRight w:val="0"/>
      <w:marTop w:val="0"/>
      <w:marBottom w:val="0"/>
      <w:divBdr>
        <w:top w:val="none" w:sz="0" w:space="0" w:color="auto"/>
        <w:left w:val="none" w:sz="0" w:space="0" w:color="auto"/>
        <w:bottom w:val="none" w:sz="0" w:space="0" w:color="auto"/>
        <w:right w:val="none" w:sz="0" w:space="0" w:color="auto"/>
      </w:divBdr>
    </w:div>
    <w:div w:id="435373814">
      <w:bodyDiv w:val="1"/>
      <w:marLeft w:val="0"/>
      <w:marRight w:val="0"/>
      <w:marTop w:val="0"/>
      <w:marBottom w:val="0"/>
      <w:divBdr>
        <w:top w:val="none" w:sz="0" w:space="0" w:color="auto"/>
        <w:left w:val="none" w:sz="0" w:space="0" w:color="auto"/>
        <w:bottom w:val="none" w:sz="0" w:space="0" w:color="auto"/>
        <w:right w:val="none" w:sz="0" w:space="0" w:color="auto"/>
      </w:divBdr>
      <w:divsChild>
        <w:div w:id="1353602715">
          <w:marLeft w:val="0"/>
          <w:marRight w:val="0"/>
          <w:marTop w:val="0"/>
          <w:marBottom w:val="0"/>
          <w:divBdr>
            <w:top w:val="none" w:sz="0" w:space="0" w:color="auto"/>
            <w:left w:val="none" w:sz="0" w:space="0" w:color="auto"/>
            <w:bottom w:val="none" w:sz="0" w:space="0" w:color="auto"/>
            <w:right w:val="none" w:sz="0" w:space="0" w:color="auto"/>
          </w:divBdr>
          <w:divsChild>
            <w:div w:id="137916126">
              <w:marLeft w:val="0"/>
              <w:marRight w:val="0"/>
              <w:marTop w:val="0"/>
              <w:marBottom w:val="0"/>
              <w:divBdr>
                <w:top w:val="none" w:sz="0" w:space="0" w:color="auto"/>
                <w:left w:val="none" w:sz="0" w:space="0" w:color="auto"/>
                <w:bottom w:val="none" w:sz="0" w:space="0" w:color="auto"/>
                <w:right w:val="none" w:sz="0" w:space="0" w:color="auto"/>
              </w:divBdr>
              <w:divsChild>
                <w:div w:id="7045279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446504564">
      <w:bodyDiv w:val="1"/>
      <w:marLeft w:val="0"/>
      <w:marRight w:val="0"/>
      <w:marTop w:val="0"/>
      <w:marBottom w:val="0"/>
      <w:divBdr>
        <w:top w:val="none" w:sz="0" w:space="0" w:color="auto"/>
        <w:left w:val="none" w:sz="0" w:space="0" w:color="auto"/>
        <w:bottom w:val="none" w:sz="0" w:space="0" w:color="auto"/>
        <w:right w:val="none" w:sz="0" w:space="0" w:color="auto"/>
      </w:divBdr>
    </w:div>
    <w:div w:id="572160625">
      <w:bodyDiv w:val="1"/>
      <w:marLeft w:val="0"/>
      <w:marRight w:val="0"/>
      <w:marTop w:val="0"/>
      <w:marBottom w:val="0"/>
      <w:divBdr>
        <w:top w:val="none" w:sz="0" w:space="0" w:color="auto"/>
        <w:left w:val="none" w:sz="0" w:space="0" w:color="auto"/>
        <w:bottom w:val="none" w:sz="0" w:space="0" w:color="auto"/>
        <w:right w:val="none" w:sz="0" w:space="0" w:color="auto"/>
      </w:divBdr>
    </w:div>
    <w:div w:id="573517044">
      <w:bodyDiv w:val="1"/>
      <w:marLeft w:val="0"/>
      <w:marRight w:val="0"/>
      <w:marTop w:val="0"/>
      <w:marBottom w:val="0"/>
      <w:divBdr>
        <w:top w:val="none" w:sz="0" w:space="0" w:color="auto"/>
        <w:left w:val="none" w:sz="0" w:space="0" w:color="auto"/>
        <w:bottom w:val="none" w:sz="0" w:space="0" w:color="auto"/>
        <w:right w:val="none" w:sz="0" w:space="0" w:color="auto"/>
      </w:divBdr>
    </w:div>
    <w:div w:id="638002555">
      <w:bodyDiv w:val="1"/>
      <w:marLeft w:val="0"/>
      <w:marRight w:val="0"/>
      <w:marTop w:val="0"/>
      <w:marBottom w:val="0"/>
      <w:divBdr>
        <w:top w:val="none" w:sz="0" w:space="0" w:color="auto"/>
        <w:left w:val="none" w:sz="0" w:space="0" w:color="auto"/>
        <w:bottom w:val="none" w:sz="0" w:space="0" w:color="auto"/>
        <w:right w:val="none" w:sz="0" w:space="0" w:color="auto"/>
      </w:divBdr>
    </w:div>
    <w:div w:id="672688687">
      <w:bodyDiv w:val="1"/>
      <w:marLeft w:val="0"/>
      <w:marRight w:val="0"/>
      <w:marTop w:val="0"/>
      <w:marBottom w:val="0"/>
      <w:divBdr>
        <w:top w:val="none" w:sz="0" w:space="0" w:color="auto"/>
        <w:left w:val="none" w:sz="0" w:space="0" w:color="auto"/>
        <w:bottom w:val="none" w:sz="0" w:space="0" w:color="auto"/>
        <w:right w:val="none" w:sz="0" w:space="0" w:color="auto"/>
      </w:divBdr>
      <w:divsChild>
        <w:div w:id="523517205">
          <w:marLeft w:val="0"/>
          <w:marRight w:val="0"/>
          <w:marTop w:val="0"/>
          <w:marBottom w:val="0"/>
          <w:divBdr>
            <w:top w:val="none" w:sz="0" w:space="0" w:color="auto"/>
            <w:left w:val="none" w:sz="0" w:space="0" w:color="auto"/>
            <w:bottom w:val="none" w:sz="0" w:space="0" w:color="auto"/>
            <w:right w:val="none" w:sz="0" w:space="0" w:color="auto"/>
          </w:divBdr>
          <w:divsChild>
            <w:div w:id="1330912976">
              <w:marLeft w:val="0"/>
              <w:marRight w:val="0"/>
              <w:marTop w:val="0"/>
              <w:marBottom w:val="0"/>
              <w:divBdr>
                <w:top w:val="none" w:sz="0" w:space="0" w:color="auto"/>
                <w:left w:val="none" w:sz="0" w:space="0" w:color="auto"/>
                <w:bottom w:val="none" w:sz="0" w:space="0" w:color="auto"/>
                <w:right w:val="none" w:sz="0" w:space="0" w:color="auto"/>
              </w:divBdr>
              <w:divsChild>
                <w:div w:id="20784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20409">
          <w:marLeft w:val="0"/>
          <w:marRight w:val="0"/>
          <w:marTop w:val="0"/>
          <w:marBottom w:val="0"/>
          <w:divBdr>
            <w:top w:val="none" w:sz="0" w:space="0" w:color="auto"/>
            <w:left w:val="none" w:sz="0" w:space="0" w:color="auto"/>
            <w:bottom w:val="none" w:sz="0" w:space="0" w:color="auto"/>
            <w:right w:val="none" w:sz="0" w:space="0" w:color="auto"/>
          </w:divBdr>
          <w:divsChild>
            <w:div w:id="469640600">
              <w:marLeft w:val="0"/>
              <w:marRight w:val="0"/>
              <w:marTop w:val="0"/>
              <w:marBottom w:val="0"/>
              <w:divBdr>
                <w:top w:val="none" w:sz="0" w:space="0" w:color="auto"/>
                <w:left w:val="none" w:sz="0" w:space="0" w:color="auto"/>
                <w:bottom w:val="none" w:sz="0" w:space="0" w:color="auto"/>
                <w:right w:val="none" w:sz="0" w:space="0" w:color="auto"/>
              </w:divBdr>
              <w:divsChild>
                <w:div w:id="1643385607">
                  <w:marLeft w:val="0"/>
                  <w:marRight w:val="0"/>
                  <w:marTop w:val="0"/>
                  <w:marBottom w:val="0"/>
                  <w:divBdr>
                    <w:top w:val="none" w:sz="0" w:space="0" w:color="auto"/>
                    <w:left w:val="none" w:sz="0" w:space="0" w:color="auto"/>
                    <w:bottom w:val="none" w:sz="0" w:space="0" w:color="auto"/>
                    <w:right w:val="none" w:sz="0" w:space="0" w:color="auto"/>
                  </w:divBdr>
                </w:div>
                <w:div w:id="605893062">
                  <w:marLeft w:val="0"/>
                  <w:marRight w:val="0"/>
                  <w:marTop w:val="0"/>
                  <w:marBottom w:val="0"/>
                  <w:divBdr>
                    <w:top w:val="none" w:sz="0" w:space="0" w:color="auto"/>
                    <w:left w:val="none" w:sz="0" w:space="0" w:color="auto"/>
                    <w:bottom w:val="none" w:sz="0" w:space="0" w:color="auto"/>
                    <w:right w:val="none" w:sz="0" w:space="0" w:color="auto"/>
                  </w:divBdr>
                  <w:divsChild>
                    <w:div w:id="18947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001755">
      <w:bodyDiv w:val="1"/>
      <w:marLeft w:val="0"/>
      <w:marRight w:val="0"/>
      <w:marTop w:val="0"/>
      <w:marBottom w:val="0"/>
      <w:divBdr>
        <w:top w:val="none" w:sz="0" w:space="0" w:color="auto"/>
        <w:left w:val="none" w:sz="0" w:space="0" w:color="auto"/>
        <w:bottom w:val="none" w:sz="0" w:space="0" w:color="auto"/>
        <w:right w:val="none" w:sz="0" w:space="0" w:color="auto"/>
      </w:divBdr>
    </w:div>
    <w:div w:id="709761939">
      <w:bodyDiv w:val="1"/>
      <w:marLeft w:val="0"/>
      <w:marRight w:val="0"/>
      <w:marTop w:val="0"/>
      <w:marBottom w:val="0"/>
      <w:divBdr>
        <w:top w:val="none" w:sz="0" w:space="0" w:color="auto"/>
        <w:left w:val="none" w:sz="0" w:space="0" w:color="auto"/>
        <w:bottom w:val="none" w:sz="0" w:space="0" w:color="auto"/>
        <w:right w:val="none" w:sz="0" w:space="0" w:color="auto"/>
      </w:divBdr>
    </w:div>
    <w:div w:id="742415588">
      <w:bodyDiv w:val="1"/>
      <w:marLeft w:val="0"/>
      <w:marRight w:val="0"/>
      <w:marTop w:val="0"/>
      <w:marBottom w:val="0"/>
      <w:divBdr>
        <w:top w:val="none" w:sz="0" w:space="0" w:color="auto"/>
        <w:left w:val="none" w:sz="0" w:space="0" w:color="auto"/>
        <w:bottom w:val="none" w:sz="0" w:space="0" w:color="auto"/>
        <w:right w:val="none" w:sz="0" w:space="0" w:color="auto"/>
      </w:divBdr>
    </w:div>
    <w:div w:id="754400366">
      <w:bodyDiv w:val="1"/>
      <w:marLeft w:val="0"/>
      <w:marRight w:val="0"/>
      <w:marTop w:val="0"/>
      <w:marBottom w:val="0"/>
      <w:divBdr>
        <w:top w:val="none" w:sz="0" w:space="0" w:color="auto"/>
        <w:left w:val="none" w:sz="0" w:space="0" w:color="auto"/>
        <w:bottom w:val="none" w:sz="0" w:space="0" w:color="auto"/>
        <w:right w:val="none" w:sz="0" w:space="0" w:color="auto"/>
      </w:divBdr>
    </w:div>
    <w:div w:id="827209154">
      <w:bodyDiv w:val="1"/>
      <w:marLeft w:val="0"/>
      <w:marRight w:val="0"/>
      <w:marTop w:val="0"/>
      <w:marBottom w:val="0"/>
      <w:divBdr>
        <w:top w:val="none" w:sz="0" w:space="0" w:color="auto"/>
        <w:left w:val="none" w:sz="0" w:space="0" w:color="auto"/>
        <w:bottom w:val="none" w:sz="0" w:space="0" w:color="auto"/>
        <w:right w:val="none" w:sz="0" w:space="0" w:color="auto"/>
      </w:divBdr>
    </w:div>
    <w:div w:id="829246688">
      <w:bodyDiv w:val="1"/>
      <w:marLeft w:val="0"/>
      <w:marRight w:val="0"/>
      <w:marTop w:val="0"/>
      <w:marBottom w:val="0"/>
      <w:divBdr>
        <w:top w:val="none" w:sz="0" w:space="0" w:color="auto"/>
        <w:left w:val="none" w:sz="0" w:space="0" w:color="auto"/>
        <w:bottom w:val="none" w:sz="0" w:space="0" w:color="auto"/>
        <w:right w:val="none" w:sz="0" w:space="0" w:color="auto"/>
      </w:divBdr>
      <w:divsChild>
        <w:div w:id="223875543">
          <w:marLeft w:val="0"/>
          <w:marRight w:val="0"/>
          <w:marTop w:val="0"/>
          <w:marBottom w:val="0"/>
          <w:divBdr>
            <w:top w:val="none" w:sz="0" w:space="0" w:color="auto"/>
            <w:left w:val="none" w:sz="0" w:space="0" w:color="auto"/>
            <w:bottom w:val="none" w:sz="0" w:space="0" w:color="auto"/>
            <w:right w:val="none" w:sz="0" w:space="0" w:color="auto"/>
          </w:divBdr>
        </w:div>
        <w:div w:id="310519535">
          <w:marLeft w:val="0"/>
          <w:marRight w:val="0"/>
          <w:marTop w:val="0"/>
          <w:marBottom w:val="0"/>
          <w:divBdr>
            <w:top w:val="none" w:sz="0" w:space="0" w:color="auto"/>
            <w:left w:val="none" w:sz="0" w:space="0" w:color="auto"/>
            <w:bottom w:val="none" w:sz="0" w:space="0" w:color="auto"/>
            <w:right w:val="none" w:sz="0" w:space="0" w:color="auto"/>
          </w:divBdr>
          <w:divsChild>
            <w:div w:id="179112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2130">
      <w:bodyDiv w:val="1"/>
      <w:marLeft w:val="0"/>
      <w:marRight w:val="0"/>
      <w:marTop w:val="0"/>
      <w:marBottom w:val="0"/>
      <w:divBdr>
        <w:top w:val="none" w:sz="0" w:space="0" w:color="auto"/>
        <w:left w:val="none" w:sz="0" w:space="0" w:color="auto"/>
        <w:bottom w:val="none" w:sz="0" w:space="0" w:color="auto"/>
        <w:right w:val="none" w:sz="0" w:space="0" w:color="auto"/>
      </w:divBdr>
    </w:div>
    <w:div w:id="860902594">
      <w:bodyDiv w:val="1"/>
      <w:marLeft w:val="0"/>
      <w:marRight w:val="0"/>
      <w:marTop w:val="0"/>
      <w:marBottom w:val="0"/>
      <w:divBdr>
        <w:top w:val="none" w:sz="0" w:space="0" w:color="auto"/>
        <w:left w:val="none" w:sz="0" w:space="0" w:color="auto"/>
        <w:bottom w:val="none" w:sz="0" w:space="0" w:color="auto"/>
        <w:right w:val="none" w:sz="0" w:space="0" w:color="auto"/>
      </w:divBdr>
    </w:div>
    <w:div w:id="866525936">
      <w:bodyDiv w:val="1"/>
      <w:marLeft w:val="0"/>
      <w:marRight w:val="0"/>
      <w:marTop w:val="0"/>
      <w:marBottom w:val="0"/>
      <w:divBdr>
        <w:top w:val="none" w:sz="0" w:space="0" w:color="auto"/>
        <w:left w:val="none" w:sz="0" w:space="0" w:color="auto"/>
        <w:bottom w:val="none" w:sz="0" w:space="0" w:color="auto"/>
        <w:right w:val="none" w:sz="0" w:space="0" w:color="auto"/>
      </w:divBdr>
    </w:div>
    <w:div w:id="889730072">
      <w:bodyDiv w:val="1"/>
      <w:marLeft w:val="0"/>
      <w:marRight w:val="0"/>
      <w:marTop w:val="0"/>
      <w:marBottom w:val="0"/>
      <w:divBdr>
        <w:top w:val="none" w:sz="0" w:space="0" w:color="auto"/>
        <w:left w:val="none" w:sz="0" w:space="0" w:color="auto"/>
        <w:bottom w:val="none" w:sz="0" w:space="0" w:color="auto"/>
        <w:right w:val="none" w:sz="0" w:space="0" w:color="auto"/>
      </w:divBdr>
    </w:div>
    <w:div w:id="897013853">
      <w:bodyDiv w:val="1"/>
      <w:marLeft w:val="0"/>
      <w:marRight w:val="0"/>
      <w:marTop w:val="0"/>
      <w:marBottom w:val="0"/>
      <w:divBdr>
        <w:top w:val="none" w:sz="0" w:space="0" w:color="auto"/>
        <w:left w:val="none" w:sz="0" w:space="0" w:color="auto"/>
        <w:bottom w:val="none" w:sz="0" w:space="0" w:color="auto"/>
        <w:right w:val="none" w:sz="0" w:space="0" w:color="auto"/>
      </w:divBdr>
    </w:div>
    <w:div w:id="933049690">
      <w:bodyDiv w:val="1"/>
      <w:marLeft w:val="0"/>
      <w:marRight w:val="0"/>
      <w:marTop w:val="0"/>
      <w:marBottom w:val="0"/>
      <w:divBdr>
        <w:top w:val="none" w:sz="0" w:space="0" w:color="auto"/>
        <w:left w:val="none" w:sz="0" w:space="0" w:color="auto"/>
        <w:bottom w:val="none" w:sz="0" w:space="0" w:color="auto"/>
        <w:right w:val="none" w:sz="0" w:space="0" w:color="auto"/>
      </w:divBdr>
    </w:div>
    <w:div w:id="1006175190">
      <w:bodyDiv w:val="1"/>
      <w:marLeft w:val="0"/>
      <w:marRight w:val="0"/>
      <w:marTop w:val="0"/>
      <w:marBottom w:val="0"/>
      <w:divBdr>
        <w:top w:val="none" w:sz="0" w:space="0" w:color="auto"/>
        <w:left w:val="none" w:sz="0" w:space="0" w:color="auto"/>
        <w:bottom w:val="none" w:sz="0" w:space="0" w:color="auto"/>
        <w:right w:val="none" w:sz="0" w:space="0" w:color="auto"/>
      </w:divBdr>
    </w:div>
    <w:div w:id="1036462336">
      <w:bodyDiv w:val="1"/>
      <w:marLeft w:val="0"/>
      <w:marRight w:val="0"/>
      <w:marTop w:val="0"/>
      <w:marBottom w:val="0"/>
      <w:divBdr>
        <w:top w:val="none" w:sz="0" w:space="0" w:color="auto"/>
        <w:left w:val="none" w:sz="0" w:space="0" w:color="auto"/>
        <w:bottom w:val="none" w:sz="0" w:space="0" w:color="auto"/>
        <w:right w:val="none" w:sz="0" w:space="0" w:color="auto"/>
      </w:divBdr>
    </w:div>
    <w:div w:id="1055590859">
      <w:bodyDiv w:val="1"/>
      <w:marLeft w:val="0"/>
      <w:marRight w:val="0"/>
      <w:marTop w:val="0"/>
      <w:marBottom w:val="0"/>
      <w:divBdr>
        <w:top w:val="none" w:sz="0" w:space="0" w:color="auto"/>
        <w:left w:val="none" w:sz="0" w:space="0" w:color="auto"/>
        <w:bottom w:val="none" w:sz="0" w:space="0" w:color="auto"/>
        <w:right w:val="none" w:sz="0" w:space="0" w:color="auto"/>
      </w:divBdr>
    </w:div>
    <w:div w:id="1069353415">
      <w:bodyDiv w:val="1"/>
      <w:marLeft w:val="0"/>
      <w:marRight w:val="0"/>
      <w:marTop w:val="0"/>
      <w:marBottom w:val="0"/>
      <w:divBdr>
        <w:top w:val="none" w:sz="0" w:space="0" w:color="auto"/>
        <w:left w:val="none" w:sz="0" w:space="0" w:color="auto"/>
        <w:bottom w:val="none" w:sz="0" w:space="0" w:color="auto"/>
        <w:right w:val="none" w:sz="0" w:space="0" w:color="auto"/>
      </w:divBdr>
    </w:div>
    <w:div w:id="1071386834">
      <w:bodyDiv w:val="1"/>
      <w:marLeft w:val="0"/>
      <w:marRight w:val="0"/>
      <w:marTop w:val="0"/>
      <w:marBottom w:val="0"/>
      <w:divBdr>
        <w:top w:val="none" w:sz="0" w:space="0" w:color="auto"/>
        <w:left w:val="none" w:sz="0" w:space="0" w:color="auto"/>
        <w:bottom w:val="none" w:sz="0" w:space="0" w:color="auto"/>
        <w:right w:val="none" w:sz="0" w:space="0" w:color="auto"/>
      </w:divBdr>
    </w:div>
    <w:div w:id="1187595332">
      <w:bodyDiv w:val="1"/>
      <w:marLeft w:val="0"/>
      <w:marRight w:val="0"/>
      <w:marTop w:val="0"/>
      <w:marBottom w:val="0"/>
      <w:divBdr>
        <w:top w:val="none" w:sz="0" w:space="0" w:color="auto"/>
        <w:left w:val="none" w:sz="0" w:space="0" w:color="auto"/>
        <w:bottom w:val="none" w:sz="0" w:space="0" w:color="auto"/>
        <w:right w:val="none" w:sz="0" w:space="0" w:color="auto"/>
      </w:divBdr>
    </w:div>
    <w:div w:id="1296985442">
      <w:bodyDiv w:val="1"/>
      <w:marLeft w:val="0"/>
      <w:marRight w:val="0"/>
      <w:marTop w:val="0"/>
      <w:marBottom w:val="0"/>
      <w:divBdr>
        <w:top w:val="none" w:sz="0" w:space="0" w:color="auto"/>
        <w:left w:val="none" w:sz="0" w:space="0" w:color="auto"/>
        <w:bottom w:val="none" w:sz="0" w:space="0" w:color="auto"/>
        <w:right w:val="none" w:sz="0" w:space="0" w:color="auto"/>
      </w:divBdr>
    </w:div>
    <w:div w:id="1313368071">
      <w:bodyDiv w:val="1"/>
      <w:marLeft w:val="0"/>
      <w:marRight w:val="0"/>
      <w:marTop w:val="0"/>
      <w:marBottom w:val="0"/>
      <w:divBdr>
        <w:top w:val="none" w:sz="0" w:space="0" w:color="auto"/>
        <w:left w:val="none" w:sz="0" w:space="0" w:color="auto"/>
        <w:bottom w:val="none" w:sz="0" w:space="0" w:color="auto"/>
        <w:right w:val="none" w:sz="0" w:space="0" w:color="auto"/>
      </w:divBdr>
    </w:div>
    <w:div w:id="1347247210">
      <w:bodyDiv w:val="1"/>
      <w:marLeft w:val="0"/>
      <w:marRight w:val="0"/>
      <w:marTop w:val="0"/>
      <w:marBottom w:val="0"/>
      <w:divBdr>
        <w:top w:val="none" w:sz="0" w:space="0" w:color="auto"/>
        <w:left w:val="none" w:sz="0" w:space="0" w:color="auto"/>
        <w:bottom w:val="none" w:sz="0" w:space="0" w:color="auto"/>
        <w:right w:val="none" w:sz="0" w:space="0" w:color="auto"/>
      </w:divBdr>
    </w:div>
    <w:div w:id="1364551812">
      <w:bodyDiv w:val="1"/>
      <w:marLeft w:val="0"/>
      <w:marRight w:val="0"/>
      <w:marTop w:val="0"/>
      <w:marBottom w:val="0"/>
      <w:divBdr>
        <w:top w:val="none" w:sz="0" w:space="0" w:color="auto"/>
        <w:left w:val="none" w:sz="0" w:space="0" w:color="auto"/>
        <w:bottom w:val="none" w:sz="0" w:space="0" w:color="auto"/>
        <w:right w:val="none" w:sz="0" w:space="0" w:color="auto"/>
      </w:divBdr>
    </w:div>
    <w:div w:id="1441754203">
      <w:bodyDiv w:val="1"/>
      <w:marLeft w:val="0"/>
      <w:marRight w:val="0"/>
      <w:marTop w:val="0"/>
      <w:marBottom w:val="0"/>
      <w:divBdr>
        <w:top w:val="none" w:sz="0" w:space="0" w:color="auto"/>
        <w:left w:val="none" w:sz="0" w:space="0" w:color="auto"/>
        <w:bottom w:val="none" w:sz="0" w:space="0" w:color="auto"/>
        <w:right w:val="none" w:sz="0" w:space="0" w:color="auto"/>
      </w:divBdr>
      <w:divsChild>
        <w:div w:id="2146119321">
          <w:marLeft w:val="0"/>
          <w:marRight w:val="0"/>
          <w:marTop w:val="0"/>
          <w:marBottom w:val="0"/>
          <w:divBdr>
            <w:top w:val="none" w:sz="0" w:space="0" w:color="auto"/>
            <w:left w:val="none" w:sz="0" w:space="0" w:color="auto"/>
            <w:bottom w:val="none" w:sz="0" w:space="0" w:color="auto"/>
            <w:right w:val="none" w:sz="0" w:space="0" w:color="auto"/>
          </w:divBdr>
          <w:divsChild>
            <w:div w:id="1336416328">
              <w:marLeft w:val="0"/>
              <w:marRight w:val="0"/>
              <w:marTop w:val="0"/>
              <w:marBottom w:val="0"/>
              <w:divBdr>
                <w:top w:val="none" w:sz="0" w:space="0" w:color="auto"/>
                <w:left w:val="none" w:sz="0" w:space="0" w:color="auto"/>
                <w:bottom w:val="none" w:sz="0" w:space="0" w:color="auto"/>
                <w:right w:val="none" w:sz="0" w:space="0" w:color="auto"/>
              </w:divBdr>
              <w:divsChild>
                <w:div w:id="18861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37105">
          <w:marLeft w:val="0"/>
          <w:marRight w:val="0"/>
          <w:marTop w:val="0"/>
          <w:marBottom w:val="0"/>
          <w:divBdr>
            <w:top w:val="none" w:sz="0" w:space="0" w:color="auto"/>
            <w:left w:val="none" w:sz="0" w:space="0" w:color="auto"/>
            <w:bottom w:val="none" w:sz="0" w:space="0" w:color="auto"/>
            <w:right w:val="none" w:sz="0" w:space="0" w:color="auto"/>
          </w:divBdr>
          <w:divsChild>
            <w:div w:id="37897433">
              <w:marLeft w:val="0"/>
              <w:marRight w:val="0"/>
              <w:marTop w:val="0"/>
              <w:marBottom w:val="0"/>
              <w:divBdr>
                <w:top w:val="none" w:sz="0" w:space="0" w:color="auto"/>
                <w:left w:val="none" w:sz="0" w:space="0" w:color="auto"/>
                <w:bottom w:val="none" w:sz="0" w:space="0" w:color="auto"/>
                <w:right w:val="none" w:sz="0" w:space="0" w:color="auto"/>
              </w:divBdr>
              <w:divsChild>
                <w:div w:id="1085110262">
                  <w:marLeft w:val="0"/>
                  <w:marRight w:val="0"/>
                  <w:marTop w:val="0"/>
                  <w:marBottom w:val="0"/>
                  <w:divBdr>
                    <w:top w:val="none" w:sz="0" w:space="0" w:color="auto"/>
                    <w:left w:val="none" w:sz="0" w:space="0" w:color="auto"/>
                    <w:bottom w:val="none" w:sz="0" w:space="0" w:color="auto"/>
                    <w:right w:val="none" w:sz="0" w:space="0" w:color="auto"/>
                  </w:divBdr>
                </w:div>
                <w:div w:id="845823240">
                  <w:marLeft w:val="0"/>
                  <w:marRight w:val="0"/>
                  <w:marTop w:val="0"/>
                  <w:marBottom w:val="0"/>
                  <w:divBdr>
                    <w:top w:val="none" w:sz="0" w:space="0" w:color="auto"/>
                    <w:left w:val="none" w:sz="0" w:space="0" w:color="auto"/>
                    <w:bottom w:val="none" w:sz="0" w:space="0" w:color="auto"/>
                    <w:right w:val="none" w:sz="0" w:space="0" w:color="auto"/>
                  </w:divBdr>
                  <w:divsChild>
                    <w:div w:id="13484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274765">
      <w:bodyDiv w:val="1"/>
      <w:marLeft w:val="0"/>
      <w:marRight w:val="0"/>
      <w:marTop w:val="0"/>
      <w:marBottom w:val="0"/>
      <w:divBdr>
        <w:top w:val="none" w:sz="0" w:space="0" w:color="auto"/>
        <w:left w:val="none" w:sz="0" w:space="0" w:color="auto"/>
        <w:bottom w:val="none" w:sz="0" w:space="0" w:color="auto"/>
        <w:right w:val="none" w:sz="0" w:space="0" w:color="auto"/>
      </w:divBdr>
    </w:div>
    <w:div w:id="1454976855">
      <w:bodyDiv w:val="1"/>
      <w:marLeft w:val="0"/>
      <w:marRight w:val="0"/>
      <w:marTop w:val="0"/>
      <w:marBottom w:val="0"/>
      <w:divBdr>
        <w:top w:val="none" w:sz="0" w:space="0" w:color="auto"/>
        <w:left w:val="none" w:sz="0" w:space="0" w:color="auto"/>
        <w:bottom w:val="none" w:sz="0" w:space="0" w:color="auto"/>
        <w:right w:val="none" w:sz="0" w:space="0" w:color="auto"/>
      </w:divBdr>
    </w:div>
    <w:div w:id="1496219275">
      <w:bodyDiv w:val="1"/>
      <w:marLeft w:val="0"/>
      <w:marRight w:val="0"/>
      <w:marTop w:val="0"/>
      <w:marBottom w:val="0"/>
      <w:divBdr>
        <w:top w:val="none" w:sz="0" w:space="0" w:color="auto"/>
        <w:left w:val="none" w:sz="0" w:space="0" w:color="auto"/>
        <w:bottom w:val="none" w:sz="0" w:space="0" w:color="auto"/>
        <w:right w:val="none" w:sz="0" w:space="0" w:color="auto"/>
      </w:divBdr>
    </w:div>
    <w:div w:id="1523782135">
      <w:bodyDiv w:val="1"/>
      <w:marLeft w:val="0"/>
      <w:marRight w:val="0"/>
      <w:marTop w:val="0"/>
      <w:marBottom w:val="0"/>
      <w:divBdr>
        <w:top w:val="none" w:sz="0" w:space="0" w:color="auto"/>
        <w:left w:val="none" w:sz="0" w:space="0" w:color="auto"/>
        <w:bottom w:val="none" w:sz="0" w:space="0" w:color="auto"/>
        <w:right w:val="none" w:sz="0" w:space="0" w:color="auto"/>
      </w:divBdr>
    </w:div>
    <w:div w:id="1527675923">
      <w:bodyDiv w:val="1"/>
      <w:marLeft w:val="0"/>
      <w:marRight w:val="0"/>
      <w:marTop w:val="0"/>
      <w:marBottom w:val="0"/>
      <w:divBdr>
        <w:top w:val="none" w:sz="0" w:space="0" w:color="auto"/>
        <w:left w:val="none" w:sz="0" w:space="0" w:color="auto"/>
        <w:bottom w:val="none" w:sz="0" w:space="0" w:color="auto"/>
        <w:right w:val="none" w:sz="0" w:space="0" w:color="auto"/>
      </w:divBdr>
    </w:div>
    <w:div w:id="1555777787">
      <w:bodyDiv w:val="1"/>
      <w:marLeft w:val="0"/>
      <w:marRight w:val="0"/>
      <w:marTop w:val="0"/>
      <w:marBottom w:val="0"/>
      <w:divBdr>
        <w:top w:val="none" w:sz="0" w:space="0" w:color="auto"/>
        <w:left w:val="none" w:sz="0" w:space="0" w:color="auto"/>
        <w:bottom w:val="none" w:sz="0" w:space="0" w:color="auto"/>
        <w:right w:val="none" w:sz="0" w:space="0" w:color="auto"/>
      </w:divBdr>
    </w:div>
    <w:div w:id="1572886742">
      <w:bodyDiv w:val="1"/>
      <w:marLeft w:val="0"/>
      <w:marRight w:val="0"/>
      <w:marTop w:val="0"/>
      <w:marBottom w:val="0"/>
      <w:divBdr>
        <w:top w:val="none" w:sz="0" w:space="0" w:color="auto"/>
        <w:left w:val="none" w:sz="0" w:space="0" w:color="auto"/>
        <w:bottom w:val="none" w:sz="0" w:space="0" w:color="auto"/>
        <w:right w:val="none" w:sz="0" w:space="0" w:color="auto"/>
      </w:divBdr>
    </w:div>
    <w:div w:id="1578784463">
      <w:bodyDiv w:val="1"/>
      <w:marLeft w:val="0"/>
      <w:marRight w:val="0"/>
      <w:marTop w:val="0"/>
      <w:marBottom w:val="0"/>
      <w:divBdr>
        <w:top w:val="none" w:sz="0" w:space="0" w:color="auto"/>
        <w:left w:val="none" w:sz="0" w:space="0" w:color="auto"/>
        <w:bottom w:val="none" w:sz="0" w:space="0" w:color="auto"/>
        <w:right w:val="none" w:sz="0" w:space="0" w:color="auto"/>
      </w:divBdr>
      <w:divsChild>
        <w:div w:id="1059742629">
          <w:marLeft w:val="0"/>
          <w:marRight w:val="0"/>
          <w:marTop w:val="75"/>
          <w:marBottom w:val="75"/>
          <w:divBdr>
            <w:top w:val="none" w:sz="0" w:space="0" w:color="auto"/>
            <w:left w:val="none" w:sz="0" w:space="0" w:color="auto"/>
            <w:bottom w:val="none" w:sz="0" w:space="0" w:color="auto"/>
            <w:right w:val="none" w:sz="0" w:space="0" w:color="auto"/>
          </w:divBdr>
        </w:div>
        <w:div w:id="1253975643">
          <w:marLeft w:val="0"/>
          <w:marRight w:val="0"/>
          <w:marTop w:val="75"/>
          <w:marBottom w:val="75"/>
          <w:divBdr>
            <w:top w:val="none" w:sz="0" w:space="0" w:color="auto"/>
            <w:left w:val="none" w:sz="0" w:space="0" w:color="auto"/>
            <w:bottom w:val="none" w:sz="0" w:space="0" w:color="auto"/>
            <w:right w:val="none" w:sz="0" w:space="0" w:color="auto"/>
          </w:divBdr>
        </w:div>
        <w:div w:id="2115132952">
          <w:marLeft w:val="0"/>
          <w:marRight w:val="0"/>
          <w:marTop w:val="75"/>
          <w:marBottom w:val="75"/>
          <w:divBdr>
            <w:top w:val="none" w:sz="0" w:space="0" w:color="auto"/>
            <w:left w:val="none" w:sz="0" w:space="0" w:color="auto"/>
            <w:bottom w:val="none" w:sz="0" w:space="0" w:color="auto"/>
            <w:right w:val="none" w:sz="0" w:space="0" w:color="auto"/>
          </w:divBdr>
        </w:div>
      </w:divsChild>
    </w:div>
    <w:div w:id="1617953292">
      <w:bodyDiv w:val="1"/>
      <w:marLeft w:val="0"/>
      <w:marRight w:val="0"/>
      <w:marTop w:val="0"/>
      <w:marBottom w:val="0"/>
      <w:divBdr>
        <w:top w:val="none" w:sz="0" w:space="0" w:color="auto"/>
        <w:left w:val="none" w:sz="0" w:space="0" w:color="auto"/>
        <w:bottom w:val="none" w:sz="0" w:space="0" w:color="auto"/>
        <w:right w:val="none" w:sz="0" w:space="0" w:color="auto"/>
      </w:divBdr>
    </w:div>
    <w:div w:id="1644650948">
      <w:bodyDiv w:val="1"/>
      <w:marLeft w:val="0"/>
      <w:marRight w:val="0"/>
      <w:marTop w:val="0"/>
      <w:marBottom w:val="0"/>
      <w:divBdr>
        <w:top w:val="none" w:sz="0" w:space="0" w:color="auto"/>
        <w:left w:val="none" w:sz="0" w:space="0" w:color="auto"/>
        <w:bottom w:val="none" w:sz="0" w:space="0" w:color="auto"/>
        <w:right w:val="none" w:sz="0" w:space="0" w:color="auto"/>
      </w:divBdr>
    </w:div>
    <w:div w:id="1671130689">
      <w:bodyDiv w:val="1"/>
      <w:marLeft w:val="0"/>
      <w:marRight w:val="0"/>
      <w:marTop w:val="0"/>
      <w:marBottom w:val="0"/>
      <w:divBdr>
        <w:top w:val="none" w:sz="0" w:space="0" w:color="auto"/>
        <w:left w:val="none" w:sz="0" w:space="0" w:color="auto"/>
        <w:bottom w:val="none" w:sz="0" w:space="0" w:color="auto"/>
        <w:right w:val="none" w:sz="0" w:space="0" w:color="auto"/>
      </w:divBdr>
    </w:div>
    <w:div w:id="1733307834">
      <w:bodyDiv w:val="1"/>
      <w:marLeft w:val="0"/>
      <w:marRight w:val="0"/>
      <w:marTop w:val="0"/>
      <w:marBottom w:val="0"/>
      <w:divBdr>
        <w:top w:val="none" w:sz="0" w:space="0" w:color="auto"/>
        <w:left w:val="none" w:sz="0" w:space="0" w:color="auto"/>
        <w:bottom w:val="none" w:sz="0" w:space="0" w:color="auto"/>
        <w:right w:val="none" w:sz="0" w:space="0" w:color="auto"/>
      </w:divBdr>
    </w:div>
    <w:div w:id="1753505439">
      <w:bodyDiv w:val="1"/>
      <w:marLeft w:val="0"/>
      <w:marRight w:val="0"/>
      <w:marTop w:val="0"/>
      <w:marBottom w:val="0"/>
      <w:divBdr>
        <w:top w:val="none" w:sz="0" w:space="0" w:color="auto"/>
        <w:left w:val="none" w:sz="0" w:space="0" w:color="auto"/>
        <w:bottom w:val="none" w:sz="0" w:space="0" w:color="auto"/>
        <w:right w:val="none" w:sz="0" w:space="0" w:color="auto"/>
      </w:divBdr>
    </w:div>
    <w:div w:id="1756707349">
      <w:bodyDiv w:val="1"/>
      <w:marLeft w:val="0"/>
      <w:marRight w:val="0"/>
      <w:marTop w:val="0"/>
      <w:marBottom w:val="0"/>
      <w:divBdr>
        <w:top w:val="none" w:sz="0" w:space="0" w:color="auto"/>
        <w:left w:val="none" w:sz="0" w:space="0" w:color="auto"/>
        <w:bottom w:val="none" w:sz="0" w:space="0" w:color="auto"/>
        <w:right w:val="none" w:sz="0" w:space="0" w:color="auto"/>
      </w:divBdr>
    </w:div>
    <w:div w:id="1757090145">
      <w:bodyDiv w:val="1"/>
      <w:marLeft w:val="0"/>
      <w:marRight w:val="0"/>
      <w:marTop w:val="0"/>
      <w:marBottom w:val="0"/>
      <w:divBdr>
        <w:top w:val="none" w:sz="0" w:space="0" w:color="auto"/>
        <w:left w:val="none" w:sz="0" w:space="0" w:color="auto"/>
        <w:bottom w:val="none" w:sz="0" w:space="0" w:color="auto"/>
        <w:right w:val="none" w:sz="0" w:space="0" w:color="auto"/>
      </w:divBdr>
    </w:div>
    <w:div w:id="1758748354">
      <w:bodyDiv w:val="1"/>
      <w:marLeft w:val="0"/>
      <w:marRight w:val="0"/>
      <w:marTop w:val="0"/>
      <w:marBottom w:val="0"/>
      <w:divBdr>
        <w:top w:val="none" w:sz="0" w:space="0" w:color="auto"/>
        <w:left w:val="none" w:sz="0" w:space="0" w:color="auto"/>
        <w:bottom w:val="none" w:sz="0" w:space="0" w:color="auto"/>
        <w:right w:val="none" w:sz="0" w:space="0" w:color="auto"/>
      </w:divBdr>
    </w:div>
    <w:div w:id="1770732833">
      <w:bodyDiv w:val="1"/>
      <w:marLeft w:val="0"/>
      <w:marRight w:val="0"/>
      <w:marTop w:val="0"/>
      <w:marBottom w:val="0"/>
      <w:divBdr>
        <w:top w:val="none" w:sz="0" w:space="0" w:color="auto"/>
        <w:left w:val="none" w:sz="0" w:space="0" w:color="auto"/>
        <w:bottom w:val="none" w:sz="0" w:space="0" w:color="auto"/>
        <w:right w:val="none" w:sz="0" w:space="0" w:color="auto"/>
      </w:divBdr>
    </w:div>
    <w:div w:id="1780101649">
      <w:bodyDiv w:val="1"/>
      <w:marLeft w:val="0"/>
      <w:marRight w:val="0"/>
      <w:marTop w:val="0"/>
      <w:marBottom w:val="0"/>
      <w:divBdr>
        <w:top w:val="none" w:sz="0" w:space="0" w:color="auto"/>
        <w:left w:val="none" w:sz="0" w:space="0" w:color="auto"/>
        <w:bottom w:val="none" w:sz="0" w:space="0" w:color="auto"/>
        <w:right w:val="none" w:sz="0" w:space="0" w:color="auto"/>
      </w:divBdr>
    </w:div>
    <w:div w:id="1813252619">
      <w:bodyDiv w:val="1"/>
      <w:marLeft w:val="0"/>
      <w:marRight w:val="0"/>
      <w:marTop w:val="0"/>
      <w:marBottom w:val="0"/>
      <w:divBdr>
        <w:top w:val="none" w:sz="0" w:space="0" w:color="auto"/>
        <w:left w:val="none" w:sz="0" w:space="0" w:color="auto"/>
        <w:bottom w:val="none" w:sz="0" w:space="0" w:color="auto"/>
        <w:right w:val="none" w:sz="0" w:space="0" w:color="auto"/>
      </w:divBdr>
    </w:div>
    <w:div w:id="1838301752">
      <w:bodyDiv w:val="1"/>
      <w:marLeft w:val="0"/>
      <w:marRight w:val="0"/>
      <w:marTop w:val="0"/>
      <w:marBottom w:val="0"/>
      <w:divBdr>
        <w:top w:val="none" w:sz="0" w:space="0" w:color="auto"/>
        <w:left w:val="none" w:sz="0" w:space="0" w:color="auto"/>
        <w:bottom w:val="none" w:sz="0" w:space="0" w:color="auto"/>
        <w:right w:val="none" w:sz="0" w:space="0" w:color="auto"/>
      </w:divBdr>
    </w:div>
    <w:div w:id="1845703840">
      <w:bodyDiv w:val="1"/>
      <w:marLeft w:val="0"/>
      <w:marRight w:val="0"/>
      <w:marTop w:val="0"/>
      <w:marBottom w:val="0"/>
      <w:divBdr>
        <w:top w:val="none" w:sz="0" w:space="0" w:color="auto"/>
        <w:left w:val="none" w:sz="0" w:space="0" w:color="auto"/>
        <w:bottom w:val="none" w:sz="0" w:space="0" w:color="auto"/>
        <w:right w:val="none" w:sz="0" w:space="0" w:color="auto"/>
      </w:divBdr>
    </w:div>
    <w:div w:id="1871912775">
      <w:bodyDiv w:val="1"/>
      <w:marLeft w:val="0"/>
      <w:marRight w:val="0"/>
      <w:marTop w:val="0"/>
      <w:marBottom w:val="0"/>
      <w:divBdr>
        <w:top w:val="none" w:sz="0" w:space="0" w:color="auto"/>
        <w:left w:val="none" w:sz="0" w:space="0" w:color="auto"/>
        <w:bottom w:val="none" w:sz="0" w:space="0" w:color="auto"/>
        <w:right w:val="none" w:sz="0" w:space="0" w:color="auto"/>
      </w:divBdr>
    </w:div>
    <w:div w:id="1886407323">
      <w:bodyDiv w:val="1"/>
      <w:marLeft w:val="0"/>
      <w:marRight w:val="0"/>
      <w:marTop w:val="0"/>
      <w:marBottom w:val="0"/>
      <w:divBdr>
        <w:top w:val="none" w:sz="0" w:space="0" w:color="auto"/>
        <w:left w:val="none" w:sz="0" w:space="0" w:color="auto"/>
        <w:bottom w:val="none" w:sz="0" w:space="0" w:color="auto"/>
        <w:right w:val="none" w:sz="0" w:space="0" w:color="auto"/>
      </w:divBdr>
      <w:divsChild>
        <w:div w:id="848984659">
          <w:marLeft w:val="0"/>
          <w:marRight w:val="0"/>
          <w:marTop w:val="0"/>
          <w:marBottom w:val="0"/>
          <w:divBdr>
            <w:top w:val="none" w:sz="0" w:space="0" w:color="auto"/>
            <w:left w:val="none" w:sz="0" w:space="0" w:color="auto"/>
            <w:bottom w:val="none" w:sz="0" w:space="0" w:color="auto"/>
            <w:right w:val="none" w:sz="0" w:space="0" w:color="auto"/>
          </w:divBdr>
        </w:div>
      </w:divsChild>
    </w:div>
    <w:div w:id="1931349043">
      <w:bodyDiv w:val="1"/>
      <w:marLeft w:val="0"/>
      <w:marRight w:val="0"/>
      <w:marTop w:val="0"/>
      <w:marBottom w:val="0"/>
      <w:divBdr>
        <w:top w:val="none" w:sz="0" w:space="0" w:color="auto"/>
        <w:left w:val="none" w:sz="0" w:space="0" w:color="auto"/>
        <w:bottom w:val="none" w:sz="0" w:space="0" w:color="auto"/>
        <w:right w:val="none" w:sz="0" w:space="0" w:color="auto"/>
      </w:divBdr>
      <w:divsChild>
        <w:div w:id="1119954537">
          <w:marLeft w:val="0"/>
          <w:marRight w:val="0"/>
          <w:marTop w:val="0"/>
          <w:marBottom w:val="0"/>
          <w:divBdr>
            <w:top w:val="none" w:sz="0" w:space="0" w:color="auto"/>
            <w:left w:val="none" w:sz="0" w:space="0" w:color="auto"/>
            <w:bottom w:val="none" w:sz="0" w:space="0" w:color="auto"/>
            <w:right w:val="none" w:sz="0" w:space="0" w:color="auto"/>
          </w:divBdr>
          <w:divsChild>
            <w:div w:id="1977952841">
              <w:marLeft w:val="0"/>
              <w:marRight w:val="0"/>
              <w:marTop w:val="0"/>
              <w:marBottom w:val="0"/>
              <w:divBdr>
                <w:top w:val="none" w:sz="0" w:space="0" w:color="auto"/>
                <w:left w:val="none" w:sz="0" w:space="0" w:color="auto"/>
                <w:bottom w:val="none" w:sz="0" w:space="0" w:color="auto"/>
                <w:right w:val="none" w:sz="0" w:space="0" w:color="auto"/>
              </w:divBdr>
              <w:divsChild>
                <w:div w:id="10286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30335">
          <w:marLeft w:val="0"/>
          <w:marRight w:val="0"/>
          <w:marTop w:val="0"/>
          <w:marBottom w:val="0"/>
          <w:divBdr>
            <w:top w:val="none" w:sz="0" w:space="0" w:color="auto"/>
            <w:left w:val="none" w:sz="0" w:space="0" w:color="auto"/>
            <w:bottom w:val="none" w:sz="0" w:space="0" w:color="auto"/>
            <w:right w:val="none" w:sz="0" w:space="0" w:color="auto"/>
          </w:divBdr>
          <w:divsChild>
            <w:div w:id="209191876">
              <w:marLeft w:val="0"/>
              <w:marRight w:val="0"/>
              <w:marTop w:val="0"/>
              <w:marBottom w:val="0"/>
              <w:divBdr>
                <w:top w:val="none" w:sz="0" w:space="0" w:color="auto"/>
                <w:left w:val="none" w:sz="0" w:space="0" w:color="auto"/>
                <w:bottom w:val="none" w:sz="0" w:space="0" w:color="auto"/>
                <w:right w:val="none" w:sz="0" w:space="0" w:color="auto"/>
              </w:divBdr>
              <w:divsChild>
                <w:div w:id="442654106">
                  <w:marLeft w:val="0"/>
                  <w:marRight w:val="0"/>
                  <w:marTop w:val="0"/>
                  <w:marBottom w:val="0"/>
                  <w:divBdr>
                    <w:top w:val="none" w:sz="0" w:space="0" w:color="auto"/>
                    <w:left w:val="none" w:sz="0" w:space="0" w:color="auto"/>
                    <w:bottom w:val="none" w:sz="0" w:space="0" w:color="auto"/>
                    <w:right w:val="none" w:sz="0" w:space="0" w:color="auto"/>
                  </w:divBdr>
                </w:div>
                <w:div w:id="1834833219">
                  <w:marLeft w:val="0"/>
                  <w:marRight w:val="0"/>
                  <w:marTop w:val="0"/>
                  <w:marBottom w:val="0"/>
                  <w:divBdr>
                    <w:top w:val="none" w:sz="0" w:space="0" w:color="auto"/>
                    <w:left w:val="none" w:sz="0" w:space="0" w:color="auto"/>
                    <w:bottom w:val="none" w:sz="0" w:space="0" w:color="auto"/>
                    <w:right w:val="none" w:sz="0" w:space="0" w:color="auto"/>
                  </w:divBdr>
                  <w:divsChild>
                    <w:div w:id="197159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579285">
      <w:bodyDiv w:val="1"/>
      <w:marLeft w:val="0"/>
      <w:marRight w:val="0"/>
      <w:marTop w:val="0"/>
      <w:marBottom w:val="0"/>
      <w:divBdr>
        <w:top w:val="none" w:sz="0" w:space="0" w:color="auto"/>
        <w:left w:val="none" w:sz="0" w:space="0" w:color="auto"/>
        <w:bottom w:val="none" w:sz="0" w:space="0" w:color="auto"/>
        <w:right w:val="none" w:sz="0" w:space="0" w:color="auto"/>
      </w:divBdr>
    </w:div>
    <w:div w:id="1993871574">
      <w:bodyDiv w:val="1"/>
      <w:marLeft w:val="0"/>
      <w:marRight w:val="0"/>
      <w:marTop w:val="0"/>
      <w:marBottom w:val="0"/>
      <w:divBdr>
        <w:top w:val="none" w:sz="0" w:space="0" w:color="auto"/>
        <w:left w:val="none" w:sz="0" w:space="0" w:color="auto"/>
        <w:bottom w:val="none" w:sz="0" w:space="0" w:color="auto"/>
        <w:right w:val="none" w:sz="0" w:space="0" w:color="auto"/>
      </w:divBdr>
    </w:div>
    <w:div w:id="1996258414">
      <w:bodyDiv w:val="1"/>
      <w:marLeft w:val="0"/>
      <w:marRight w:val="0"/>
      <w:marTop w:val="0"/>
      <w:marBottom w:val="0"/>
      <w:divBdr>
        <w:top w:val="none" w:sz="0" w:space="0" w:color="auto"/>
        <w:left w:val="none" w:sz="0" w:space="0" w:color="auto"/>
        <w:bottom w:val="none" w:sz="0" w:space="0" w:color="auto"/>
        <w:right w:val="none" w:sz="0" w:space="0" w:color="auto"/>
      </w:divBdr>
    </w:div>
    <w:div w:id="2035763397">
      <w:bodyDiv w:val="1"/>
      <w:marLeft w:val="0"/>
      <w:marRight w:val="0"/>
      <w:marTop w:val="0"/>
      <w:marBottom w:val="0"/>
      <w:divBdr>
        <w:top w:val="none" w:sz="0" w:space="0" w:color="auto"/>
        <w:left w:val="none" w:sz="0" w:space="0" w:color="auto"/>
        <w:bottom w:val="none" w:sz="0" w:space="0" w:color="auto"/>
        <w:right w:val="none" w:sz="0" w:space="0" w:color="auto"/>
      </w:divBdr>
    </w:div>
    <w:div w:id="2063558668">
      <w:bodyDiv w:val="1"/>
      <w:marLeft w:val="0"/>
      <w:marRight w:val="0"/>
      <w:marTop w:val="0"/>
      <w:marBottom w:val="0"/>
      <w:divBdr>
        <w:top w:val="none" w:sz="0" w:space="0" w:color="auto"/>
        <w:left w:val="none" w:sz="0" w:space="0" w:color="auto"/>
        <w:bottom w:val="none" w:sz="0" w:space="0" w:color="auto"/>
        <w:right w:val="none" w:sz="0" w:space="0" w:color="auto"/>
      </w:divBdr>
    </w:div>
    <w:div w:id="2100756929">
      <w:bodyDiv w:val="1"/>
      <w:marLeft w:val="0"/>
      <w:marRight w:val="0"/>
      <w:marTop w:val="0"/>
      <w:marBottom w:val="0"/>
      <w:divBdr>
        <w:top w:val="none" w:sz="0" w:space="0" w:color="auto"/>
        <w:left w:val="none" w:sz="0" w:space="0" w:color="auto"/>
        <w:bottom w:val="none" w:sz="0" w:space="0" w:color="auto"/>
        <w:right w:val="none" w:sz="0" w:space="0" w:color="auto"/>
      </w:divBdr>
    </w:div>
    <w:div w:id="2110158086">
      <w:bodyDiv w:val="1"/>
      <w:marLeft w:val="0"/>
      <w:marRight w:val="0"/>
      <w:marTop w:val="0"/>
      <w:marBottom w:val="0"/>
      <w:divBdr>
        <w:top w:val="none" w:sz="0" w:space="0" w:color="auto"/>
        <w:left w:val="none" w:sz="0" w:space="0" w:color="auto"/>
        <w:bottom w:val="none" w:sz="0" w:space="0" w:color="auto"/>
        <w:right w:val="none" w:sz="0" w:space="0" w:color="auto"/>
      </w:divBdr>
    </w:div>
    <w:div w:id="2121606610">
      <w:bodyDiv w:val="1"/>
      <w:marLeft w:val="0"/>
      <w:marRight w:val="0"/>
      <w:marTop w:val="0"/>
      <w:marBottom w:val="0"/>
      <w:divBdr>
        <w:top w:val="none" w:sz="0" w:space="0" w:color="auto"/>
        <w:left w:val="none" w:sz="0" w:space="0" w:color="auto"/>
        <w:bottom w:val="none" w:sz="0" w:space="0" w:color="auto"/>
        <w:right w:val="none" w:sz="0" w:space="0" w:color="auto"/>
      </w:divBdr>
    </w:div>
    <w:div w:id="2123842520">
      <w:bodyDiv w:val="1"/>
      <w:marLeft w:val="0"/>
      <w:marRight w:val="0"/>
      <w:marTop w:val="0"/>
      <w:marBottom w:val="0"/>
      <w:divBdr>
        <w:top w:val="none" w:sz="0" w:space="0" w:color="auto"/>
        <w:left w:val="none" w:sz="0" w:space="0" w:color="auto"/>
        <w:bottom w:val="none" w:sz="0" w:space="0" w:color="auto"/>
        <w:right w:val="none" w:sz="0" w:space="0" w:color="auto"/>
      </w:divBdr>
    </w:div>
    <w:div w:id="214454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apers.ssrn.com/sol3/papers.cfm?abstract_id=3669088"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9DA2C-B5CA-491E-AE9C-A2ADC6054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12261</Words>
  <Characters>73449</Characters>
  <Application>Microsoft Office Word</Application>
  <DocSecurity>0</DocSecurity>
  <Lines>979</Lines>
  <Paragraphs>262</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Company>Goethe Universität Frankfurt</Company>
  <LinksUpToDate>false</LinksUpToDate>
  <CharactersWithSpaces>85448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Nigro, Casimiro</dc:creator>
  <cp:keywords/>
  <dc:description/>
  <cp:lastModifiedBy>Nigro, Casimiro</cp:lastModifiedBy>
  <cp:revision>89</cp:revision>
  <cp:lastPrinted>2021-03-11T14:47:00Z</cp:lastPrinted>
  <dcterms:created xsi:type="dcterms:W3CDTF">2021-03-05T17:15:00Z</dcterms:created>
  <dcterms:modified xsi:type="dcterms:W3CDTF">2021-09-29T11:35:00Z</dcterms:modified>
</cp:coreProperties>
</file>